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00" w:rsidRPr="009B2500" w:rsidRDefault="009B2500" w:rsidP="009B2500">
      <w:pPr>
        <w:jc w:val="center"/>
        <w:rPr>
          <w:b/>
        </w:rPr>
      </w:pPr>
      <w:r w:rsidRPr="009B2500">
        <w:rPr>
          <w:b/>
        </w:rPr>
        <w:t>Иркутская область</w:t>
      </w:r>
    </w:p>
    <w:p w:rsidR="009B2500" w:rsidRDefault="009B2500" w:rsidP="009B2500">
      <w:pPr>
        <w:jc w:val="center"/>
        <w:rPr>
          <w:b/>
        </w:rPr>
      </w:pPr>
      <w:r w:rsidRPr="009B2500">
        <w:rPr>
          <w:b/>
        </w:rPr>
        <w:t>Нижнеилимский район</w:t>
      </w:r>
    </w:p>
    <w:p w:rsidR="005211EB" w:rsidRDefault="005211EB" w:rsidP="009B2500">
      <w:pPr>
        <w:jc w:val="center"/>
        <w:rPr>
          <w:b/>
        </w:rPr>
      </w:pPr>
      <w:r>
        <w:rPr>
          <w:b/>
        </w:rPr>
        <w:t xml:space="preserve">Контрольно-счетная палата </w:t>
      </w:r>
    </w:p>
    <w:p w:rsidR="005211EB" w:rsidRPr="009B2500" w:rsidRDefault="005211EB" w:rsidP="009B2500">
      <w:pPr>
        <w:jc w:val="center"/>
        <w:rPr>
          <w:b/>
        </w:rPr>
      </w:pPr>
      <w:r>
        <w:rPr>
          <w:b/>
        </w:rPr>
        <w:t>Нижнеилимского муниципального района</w:t>
      </w:r>
    </w:p>
    <w:p w:rsidR="009B2500" w:rsidRDefault="009B2500" w:rsidP="009B2500">
      <w:pPr>
        <w:jc w:val="center"/>
        <w:rPr>
          <w:b/>
        </w:rPr>
      </w:pPr>
    </w:p>
    <w:p w:rsidR="001B26C8" w:rsidRDefault="009B2500" w:rsidP="001B26C8">
      <w:r>
        <w:t>_____________________________________________________________________________=====================================================================</w:t>
      </w:r>
    </w:p>
    <w:p w:rsidR="00ED25BA" w:rsidRDefault="00ED25BA" w:rsidP="001B26C8"/>
    <w:p w:rsidR="00ED25BA" w:rsidRPr="001B26C8" w:rsidRDefault="00ED25BA" w:rsidP="001B26C8"/>
    <w:p w:rsidR="001B26C8" w:rsidRPr="00ED25BA" w:rsidRDefault="00C2360E" w:rsidP="00C2360E">
      <w:pPr>
        <w:tabs>
          <w:tab w:val="left" w:pos="3825"/>
        </w:tabs>
        <w:jc w:val="both"/>
      </w:pPr>
      <w:r>
        <w:tab/>
      </w:r>
      <w:r w:rsidRPr="0097085A">
        <w:rPr>
          <w:b/>
        </w:rPr>
        <w:t>Заключение</w:t>
      </w:r>
    </w:p>
    <w:p w:rsidR="00B075F4" w:rsidRDefault="00B075F4" w:rsidP="0097085A">
      <w:pPr>
        <w:tabs>
          <w:tab w:val="left" w:pos="3825"/>
        </w:tabs>
        <w:jc w:val="center"/>
        <w:rPr>
          <w:b/>
        </w:rPr>
      </w:pPr>
      <w:r w:rsidRPr="0097085A">
        <w:rPr>
          <w:b/>
        </w:rPr>
        <w:t>на годовой отчет об исполнении бюджета муниципального образован</w:t>
      </w:r>
      <w:r w:rsidR="00BA3E11">
        <w:rPr>
          <w:b/>
        </w:rPr>
        <w:t>ия «Нижнеилимский район» за 2012</w:t>
      </w:r>
      <w:r w:rsidRPr="0097085A">
        <w:rPr>
          <w:b/>
        </w:rPr>
        <w:t xml:space="preserve"> год</w:t>
      </w:r>
      <w:r w:rsidR="00ED25BA">
        <w:rPr>
          <w:b/>
        </w:rPr>
        <w:t>.</w:t>
      </w:r>
    </w:p>
    <w:p w:rsidR="00ED25BA" w:rsidRDefault="00ED25BA" w:rsidP="0097085A">
      <w:pPr>
        <w:tabs>
          <w:tab w:val="left" w:pos="3825"/>
        </w:tabs>
        <w:jc w:val="center"/>
        <w:rPr>
          <w:b/>
        </w:rPr>
      </w:pPr>
    </w:p>
    <w:p w:rsidR="00ED25BA" w:rsidRPr="0097085A" w:rsidRDefault="00ED25BA" w:rsidP="0097085A">
      <w:pPr>
        <w:tabs>
          <w:tab w:val="left" w:pos="3825"/>
        </w:tabs>
        <w:jc w:val="center"/>
        <w:rPr>
          <w:b/>
        </w:rPr>
      </w:pPr>
    </w:p>
    <w:p w:rsidR="001B26C8" w:rsidRPr="0097085A" w:rsidRDefault="001B26C8" w:rsidP="0097085A">
      <w:pPr>
        <w:jc w:val="center"/>
        <w:rPr>
          <w:b/>
        </w:rPr>
      </w:pPr>
    </w:p>
    <w:p w:rsidR="00085AEB" w:rsidRDefault="00BA3E11" w:rsidP="00CD061E">
      <w:pPr>
        <w:tabs>
          <w:tab w:val="left" w:pos="6030"/>
          <w:tab w:val="left" w:pos="6270"/>
          <w:tab w:val="left" w:pos="6825"/>
        </w:tabs>
        <w:jc w:val="both"/>
      </w:pPr>
      <w:r>
        <w:t>1</w:t>
      </w:r>
      <w:r w:rsidR="00ED25BA">
        <w:t xml:space="preserve"> мая</w:t>
      </w:r>
      <w:r w:rsidR="001B26C8">
        <w:t xml:space="preserve"> 201</w:t>
      </w:r>
      <w:r w:rsidR="00C2360E">
        <w:t>2</w:t>
      </w:r>
      <w:r w:rsidR="00B075F4">
        <w:t xml:space="preserve"> год</w:t>
      </w:r>
      <w:r w:rsidR="00B075F4">
        <w:tab/>
        <w:t>г. Железногорск-Илимский</w:t>
      </w:r>
    </w:p>
    <w:p w:rsidR="00ED25BA" w:rsidRDefault="00ED25BA" w:rsidP="00CD061E">
      <w:pPr>
        <w:tabs>
          <w:tab w:val="left" w:pos="6030"/>
          <w:tab w:val="left" w:pos="6270"/>
          <w:tab w:val="left" w:pos="6825"/>
        </w:tabs>
        <w:jc w:val="both"/>
      </w:pPr>
    </w:p>
    <w:p w:rsidR="00ED25BA" w:rsidRDefault="00ED25BA" w:rsidP="00CD061E">
      <w:pPr>
        <w:tabs>
          <w:tab w:val="left" w:pos="6030"/>
          <w:tab w:val="left" w:pos="6270"/>
          <w:tab w:val="left" w:pos="6825"/>
        </w:tabs>
        <w:jc w:val="both"/>
      </w:pPr>
    </w:p>
    <w:p w:rsidR="0097085A" w:rsidRDefault="0097085A" w:rsidP="00CD061E">
      <w:pPr>
        <w:tabs>
          <w:tab w:val="left" w:pos="6030"/>
          <w:tab w:val="left" w:pos="6270"/>
          <w:tab w:val="left" w:pos="6825"/>
        </w:tabs>
        <w:jc w:val="both"/>
      </w:pPr>
    </w:p>
    <w:p w:rsidR="001B26C8" w:rsidRDefault="0099583E" w:rsidP="0097085A">
      <w:pPr>
        <w:pStyle w:val="ac"/>
        <w:numPr>
          <w:ilvl w:val="0"/>
          <w:numId w:val="7"/>
        </w:numPr>
        <w:jc w:val="center"/>
        <w:rPr>
          <w:b/>
        </w:rPr>
      </w:pPr>
      <w:r w:rsidRPr="0099583E">
        <w:rPr>
          <w:b/>
        </w:rPr>
        <w:t>Общие положения</w:t>
      </w:r>
    </w:p>
    <w:p w:rsidR="00ED25BA" w:rsidRDefault="00ED25BA" w:rsidP="00ED25BA">
      <w:pPr>
        <w:pStyle w:val="ac"/>
        <w:ind w:left="502"/>
        <w:jc w:val="center"/>
        <w:rPr>
          <w:b/>
        </w:rPr>
      </w:pPr>
    </w:p>
    <w:p w:rsidR="0099583E" w:rsidRPr="0099583E" w:rsidRDefault="0099583E" w:rsidP="00CD061E">
      <w:pPr>
        <w:ind w:left="60"/>
        <w:jc w:val="both"/>
        <w:rPr>
          <w:b/>
        </w:rPr>
      </w:pPr>
    </w:p>
    <w:p w:rsidR="00CF2461" w:rsidRDefault="00013516" w:rsidP="00CD061E">
      <w:pPr>
        <w:jc w:val="both"/>
      </w:pPr>
      <w:r>
        <w:tab/>
      </w:r>
      <w:r w:rsidR="00BA3E11">
        <w:t>Заключение на отчет</w:t>
      </w:r>
      <w:r w:rsidR="00B075F4">
        <w:t xml:space="preserve"> об исполнении бюджета муниципального образования «Нижнеилимский район» за 201</w:t>
      </w:r>
      <w:r w:rsidR="00BA3E11">
        <w:t>2</w:t>
      </w:r>
      <w:r w:rsidR="00B075F4">
        <w:t xml:space="preserve"> год</w:t>
      </w:r>
      <w:r w:rsidR="00BA3E11">
        <w:t xml:space="preserve"> </w:t>
      </w:r>
      <w:r w:rsidR="006B1CDD">
        <w:t>(</w:t>
      </w:r>
      <w:r w:rsidR="00BA3E11">
        <w:t>далее – заключение)</w:t>
      </w:r>
      <w:r w:rsidR="003E0BE0">
        <w:t xml:space="preserve"> подготовлено</w:t>
      </w:r>
      <w:r w:rsidR="00BA3E11">
        <w:t xml:space="preserve"> в соответствии с положениями</w:t>
      </w:r>
      <w:r w:rsidR="00B075F4">
        <w:t xml:space="preserve"> ст.264.4 Бюджетного </w:t>
      </w:r>
      <w:r w:rsidR="00BA3E11">
        <w:t>кодекса Российской Федерации (далее – Бюджетный кодекс РФ)</w:t>
      </w:r>
      <w:r w:rsidR="003E0BE0">
        <w:t>,</w:t>
      </w:r>
      <w:r w:rsidR="003E0BE0" w:rsidRPr="003E0BE0">
        <w:t xml:space="preserve"> </w:t>
      </w:r>
      <w:r w:rsidR="003E0BE0">
        <w:t>решением Думы Нижнеилимского муниципального района от 25.10.2012 года № 241 «Об утверждении «Положения</w:t>
      </w:r>
      <w:r w:rsidR="003F2CF9">
        <w:t xml:space="preserve">  бюджетном процессе в муниципальном образовании «Н</w:t>
      </w:r>
      <w:r w:rsidR="003E0BE0">
        <w:t>ижнеилимский район»,</w:t>
      </w:r>
      <w:r w:rsidR="003F2CF9">
        <w:t xml:space="preserve"> </w:t>
      </w:r>
      <w:r w:rsidR="00BA3E11">
        <w:t>планом работы</w:t>
      </w:r>
      <w:r w:rsidR="009B4298">
        <w:t xml:space="preserve">  Контрольно-счетной</w:t>
      </w:r>
      <w:r w:rsidR="006B1CDD">
        <w:t xml:space="preserve"> палаты Нижнеилимского муниципального района (далее - счетная палата)</w:t>
      </w:r>
      <w:r w:rsidR="00294253">
        <w:t xml:space="preserve"> за</w:t>
      </w:r>
      <w:r w:rsidR="005544FD">
        <w:t xml:space="preserve"> 2012 год, на основании данных годового отчета об исполнении бюджета Нижнеилимского муниципального района и результатов выборочной проверки бюджетной отчетности главных администраторов бюджетных средств.</w:t>
      </w:r>
    </w:p>
    <w:p w:rsidR="00294253" w:rsidRDefault="00294253" w:rsidP="00CD061E">
      <w:pPr>
        <w:jc w:val="both"/>
      </w:pPr>
      <w:r>
        <w:t>При подготовке заключения использованы данные статистической и бюджетной отчетности, результаты проведённых контрольных мероприятий за отчетный период, иные материалы, предста</w:t>
      </w:r>
      <w:r w:rsidR="00646E35">
        <w:t>вленные по запросу счетной палаты.</w:t>
      </w:r>
    </w:p>
    <w:p w:rsidR="00646E35" w:rsidRDefault="00646E35" w:rsidP="0070188A">
      <w:pPr>
        <w:ind w:firstLine="708"/>
        <w:jc w:val="both"/>
      </w:pPr>
      <w:r>
        <w:t>Под годовым отчетом в целях внешней проверки понимаются показатели «Отчета об исполнении бюджета муниципального образования «Нижнеилимский район» на 1 января 2013 года (форма по ОКУД 0503117) (далее – годовой отчет об исполнении бюджета).</w:t>
      </w:r>
    </w:p>
    <w:p w:rsidR="00646E35" w:rsidRDefault="00646E35" w:rsidP="00CD061E">
      <w:pPr>
        <w:jc w:val="both"/>
      </w:pPr>
      <w:r>
        <w:t>Внешняя проверка годового отчета об исполнении бюджета муниципального образования проводилас</w:t>
      </w:r>
      <w:r w:rsidR="00C83AD5">
        <w:t>ь</w:t>
      </w:r>
      <w:r>
        <w:t xml:space="preserve"> на выборочной основе с применением принципа существенности и</w:t>
      </w:r>
      <w:r w:rsidR="00C83AD5">
        <w:t xml:space="preserve"> включала в себя анализ, сопоставление и оценку годовой бюджетной отчетности главных администраторов бюджетных средств, регистров бюджетного учета, данных органа, организующего исполнение районного бюджета – Финансового управления администрации Нижнеилимского муниципального района</w:t>
      </w:r>
      <w:r>
        <w:t xml:space="preserve"> </w:t>
      </w:r>
      <w:r w:rsidR="00C83AD5">
        <w:t>об исполнения бюджета и других материалов.</w:t>
      </w:r>
    </w:p>
    <w:p w:rsidR="002E7516" w:rsidRDefault="00CF2461" w:rsidP="0070188A">
      <w:pPr>
        <w:ind w:firstLine="360"/>
        <w:jc w:val="both"/>
      </w:pPr>
      <w:r>
        <w:t>Финансовым управлением администрации Нижнеилимского</w:t>
      </w:r>
      <w:r w:rsidR="002E7516">
        <w:t xml:space="preserve"> муниципального </w:t>
      </w:r>
      <w:r>
        <w:t xml:space="preserve"> района</w:t>
      </w:r>
      <w:r w:rsidR="002E7516">
        <w:t xml:space="preserve"> </w:t>
      </w:r>
      <w:r w:rsidR="00DF3C5F">
        <w:t xml:space="preserve">( далее Финансовое управление) </w:t>
      </w:r>
      <w:r w:rsidR="002E7516">
        <w:t>в установленные сроки</w:t>
      </w:r>
      <w:r>
        <w:t xml:space="preserve"> </w:t>
      </w:r>
      <w:r w:rsidR="002E7516">
        <w:t xml:space="preserve">одновременно с годовым отчетом об исполнении бюджета МО «Нижнеилимский район» </w:t>
      </w:r>
      <w:r w:rsidR="00C6510B">
        <w:t>в соответствии с перечнем документов и материалов, установленных ст.264.1, п.2 ст.264.5.</w:t>
      </w:r>
      <w:r w:rsidR="008F2F11">
        <w:t>БК РФ и П</w:t>
      </w:r>
      <w:r w:rsidR="00C6510B">
        <w:t xml:space="preserve">оложения  «О </w:t>
      </w:r>
      <w:r w:rsidR="00C6510B">
        <w:lastRenderedPageBreak/>
        <w:t>бюджетном процессе</w:t>
      </w:r>
      <w:r w:rsidR="008F2F11">
        <w:t>»</w:t>
      </w:r>
      <w:r w:rsidR="00C6510B">
        <w:t xml:space="preserve"> </w:t>
      </w:r>
      <w:r w:rsidR="00D25DD7">
        <w:t>направлена</w:t>
      </w:r>
      <w:r w:rsidR="00FC4BDC">
        <w:t xml:space="preserve"> в Контрольно-счетную палату</w:t>
      </w:r>
      <w:r w:rsidR="00D25DD7">
        <w:t xml:space="preserve"> </w:t>
      </w:r>
      <w:r w:rsidR="004C31BA">
        <w:t xml:space="preserve"> следующая бюджетная отчетность</w:t>
      </w:r>
      <w:r w:rsidR="002E7516">
        <w:t>;</w:t>
      </w:r>
    </w:p>
    <w:p w:rsidR="004E7FA6" w:rsidRDefault="004E7FA6" w:rsidP="00CD061E">
      <w:pPr>
        <w:jc w:val="both"/>
      </w:pPr>
    </w:p>
    <w:p w:rsidR="002E7516" w:rsidRDefault="002E7516" w:rsidP="004E7FA6">
      <w:pPr>
        <w:pStyle w:val="ac"/>
        <w:numPr>
          <w:ilvl w:val="0"/>
          <w:numId w:val="6"/>
        </w:numPr>
        <w:ind w:firstLine="66"/>
        <w:jc w:val="both"/>
      </w:pPr>
      <w:r>
        <w:t>баланс исп</w:t>
      </w:r>
      <w:r w:rsidR="000862AE">
        <w:t>олнения бюджета на 01.01.2012г.</w:t>
      </w:r>
      <w:r w:rsidR="0070188A">
        <w:t xml:space="preserve"> </w:t>
      </w:r>
      <w:r w:rsidR="000862AE">
        <w:t>(ф.0503120);</w:t>
      </w:r>
    </w:p>
    <w:p w:rsidR="002E7516" w:rsidRDefault="002E7516" w:rsidP="004E7FA6">
      <w:pPr>
        <w:pStyle w:val="ac"/>
        <w:numPr>
          <w:ilvl w:val="0"/>
          <w:numId w:val="6"/>
        </w:numPr>
        <w:ind w:left="426" w:firstLine="0"/>
        <w:jc w:val="both"/>
      </w:pPr>
      <w:r>
        <w:t>отчет о финансовых результатах деятельности</w:t>
      </w:r>
      <w:r w:rsidR="00FC4BDC">
        <w:t xml:space="preserve"> на 01.01.2012г.</w:t>
      </w:r>
      <w:r w:rsidR="000862AE">
        <w:t xml:space="preserve"> (ф. 0503121);</w:t>
      </w:r>
    </w:p>
    <w:p w:rsidR="002E7516" w:rsidRDefault="00503AB8" w:rsidP="004E7FA6">
      <w:pPr>
        <w:pStyle w:val="ac"/>
        <w:numPr>
          <w:ilvl w:val="0"/>
          <w:numId w:val="6"/>
        </w:numPr>
        <w:ind w:left="426" w:firstLine="0"/>
        <w:jc w:val="both"/>
      </w:pPr>
      <w:r>
        <w:t>отчет о движении денежных средств</w:t>
      </w:r>
      <w:r w:rsidR="000862AE">
        <w:t xml:space="preserve"> на 01.01.2013</w:t>
      </w:r>
      <w:r w:rsidR="00FC4BDC">
        <w:t>г.</w:t>
      </w:r>
      <w:r w:rsidR="000862AE">
        <w:t xml:space="preserve"> (ф.0503123);</w:t>
      </w:r>
    </w:p>
    <w:p w:rsidR="00C6510B" w:rsidRDefault="00571498" w:rsidP="004E7FA6">
      <w:pPr>
        <w:pStyle w:val="ac"/>
        <w:numPr>
          <w:ilvl w:val="0"/>
          <w:numId w:val="6"/>
        </w:numPr>
        <w:ind w:left="426" w:firstLine="0"/>
        <w:jc w:val="both"/>
      </w:pPr>
      <w:r>
        <w:t>пояснительная записка</w:t>
      </w:r>
      <w:r w:rsidR="00FC4BDC">
        <w:t xml:space="preserve"> к проекту решения Думы</w:t>
      </w:r>
      <w:r w:rsidR="000862AE">
        <w:t>;</w:t>
      </w:r>
    </w:p>
    <w:p w:rsidR="000862AE" w:rsidRDefault="000862AE" w:rsidP="004E7FA6">
      <w:pPr>
        <w:pStyle w:val="ac"/>
        <w:numPr>
          <w:ilvl w:val="0"/>
          <w:numId w:val="6"/>
        </w:numPr>
        <w:ind w:left="426" w:firstLine="0"/>
        <w:jc w:val="both"/>
      </w:pPr>
      <w:r>
        <w:t>отчет об исполнении бюджета муниципального образования «Нижнеилимский район»</w:t>
      </w:r>
      <w:r w:rsidR="0070188A">
        <w:t xml:space="preserve"> </w:t>
      </w:r>
      <w:r>
        <w:t>за 2012 год (ф.0503117).</w:t>
      </w:r>
    </w:p>
    <w:p w:rsidR="004E7FA6" w:rsidRDefault="004E7FA6" w:rsidP="004E7FA6">
      <w:pPr>
        <w:ind w:left="426"/>
        <w:jc w:val="both"/>
      </w:pPr>
    </w:p>
    <w:p w:rsidR="00127C83" w:rsidRDefault="00571498" w:rsidP="00943DA5">
      <w:pPr>
        <w:jc w:val="both"/>
      </w:pPr>
      <w:r>
        <w:t xml:space="preserve">В рамках проведения внешней проверки исполнения бюджета МО «Нижнеилимский район», КСП были </w:t>
      </w:r>
      <w:r w:rsidR="00DF3C5F">
        <w:t xml:space="preserve">дополнительно </w:t>
      </w:r>
      <w:r>
        <w:t xml:space="preserve">запрошены </w:t>
      </w:r>
      <w:r w:rsidR="00DF68F5">
        <w:t>копии бюджетной отчетности главных распорядителей</w:t>
      </w:r>
      <w:r w:rsidR="006B584D">
        <w:t xml:space="preserve"> за 2012</w:t>
      </w:r>
      <w:r w:rsidR="00F042D1">
        <w:t xml:space="preserve"> год, </w:t>
      </w:r>
      <w:r w:rsidR="00D32F90">
        <w:t xml:space="preserve">сводная </w:t>
      </w:r>
      <w:r>
        <w:t>бюдже</w:t>
      </w:r>
      <w:r w:rsidR="00D32F90">
        <w:t>тная роспись</w:t>
      </w:r>
      <w:r w:rsidR="00F042D1">
        <w:t xml:space="preserve">, </w:t>
      </w:r>
      <w:r w:rsidR="004E7FA6">
        <w:t>с целью, проведения а</w:t>
      </w:r>
      <w:r w:rsidR="00556A48">
        <w:t>нализа достоверности представленного годового отчета</w:t>
      </w:r>
      <w:r w:rsidR="00FC4BDC">
        <w:t>, приказ</w:t>
      </w:r>
      <w:r w:rsidR="00B87830">
        <w:t>ы</w:t>
      </w:r>
      <w:r w:rsidR="00FC4BDC">
        <w:t xml:space="preserve"> Финансово</w:t>
      </w:r>
      <w:r w:rsidR="00DF3C5F">
        <w:t>го управления</w:t>
      </w:r>
      <w:r w:rsidR="00127C83">
        <w:t>:</w:t>
      </w:r>
    </w:p>
    <w:p w:rsidR="001F1025" w:rsidRDefault="00127C83" w:rsidP="001F1025">
      <w:pPr>
        <w:jc w:val="both"/>
      </w:pPr>
      <w:r>
        <w:t>-</w:t>
      </w:r>
      <w:r w:rsidR="00FC4BDC">
        <w:t xml:space="preserve"> от 29.12.2008г. №19</w:t>
      </w:r>
      <w:r w:rsidR="001F1025">
        <w:t>-од</w:t>
      </w:r>
      <w:r w:rsidR="00FC4BDC">
        <w:t xml:space="preserve"> «О порядке исполнения бюджета Нижнеилимского муниципального района по расходам»</w:t>
      </w:r>
      <w:r w:rsidR="00B87830">
        <w:t>;</w:t>
      </w:r>
    </w:p>
    <w:p w:rsidR="001F1025" w:rsidRDefault="001F1025" w:rsidP="001F1025">
      <w:pPr>
        <w:jc w:val="both"/>
      </w:pPr>
      <w:r w:rsidRPr="001F1025">
        <w:t xml:space="preserve"> </w:t>
      </w:r>
      <w:r>
        <w:t>- от 25.12.2012 г. № 32-од «О внесении изменений в сводную бюджетную роспись местного бюджета на 2012 год».</w:t>
      </w:r>
    </w:p>
    <w:p w:rsidR="00127C83" w:rsidRDefault="00127C83" w:rsidP="00943DA5">
      <w:pPr>
        <w:jc w:val="both"/>
      </w:pPr>
      <w:r>
        <w:t>-</w:t>
      </w:r>
      <w:r w:rsidR="001F1025">
        <w:t xml:space="preserve"> от 12.12.2012г.№ 31-од</w:t>
      </w:r>
      <w:r w:rsidR="00B87830">
        <w:t xml:space="preserve"> «Об утверждении Порядка о завершении операций по </w:t>
      </w:r>
      <w:r w:rsidR="009704A5">
        <w:t>исполнению</w:t>
      </w:r>
      <w:r w:rsidR="00B87830">
        <w:t xml:space="preserve"> местного бюджета  при завершении текущего финансового года наличными деньгами, необходимыми для осуществления их деятельности в нерабочие праздничные дни в РФ в январе очередного финансового года»;</w:t>
      </w:r>
      <w:r w:rsidR="009704A5">
        <w:t xml:space="preserve"> </w:t>
      </w:r>
    </w:p>
    <w:p w:rsidR="00127C83" w:rsidRDefault="009704A5" w:rsidP="00943DA5">
      <w:pPr>
        <w:jc w:val="both"/>
      </w:pPr>
      <w:r>
        <w:t xml:space="preserve"> </w:t>
      </w:r>
      <w:r w:rsidR="00B87830">
        <w:t xml:space="preserve"> Постановлени</w:t>
      </w:r>
      <w:r>
        <w:t>я</w:t>
      </w:r>
      <w:r w:rsidR="00B87830">
        <w:t xml:space="preserve"> администрации Нижнеилмского муниципального района</w:t>
      </w:r>
      <w:r w:rsidR="00127C83">
        <w:t>:</w:t>
      </w:r>
    </w:p>
    <w:p w:rsidR="00127C83" w:rsidRDefault="00127C83" w:rsidP="00943DA5">
      <w:pPr>
        <w:jc w:val="both"/>
      </w:pPr>
      <w:r>
        <w:t>-</w:t>
      </w:r>
      <w:r w:rsidR="00B87830">
        <w:t xml:space="preserve"> от 22.10.2010г. №</w:t>
      </w:r>
      <w:r w:rsidR="001F1025">
        <w:t xml:space="preserve"> </w:t>
      </w:r>
      <w:r w:rsidR="00B87830">
        <w:t>1262 «Об утверждении Порядка формирования и финансового обеспечения выполнения муниципального задания на оказание муниципальных услуг</w:t>
      </w:r>
      <w:r w:rsidR="009704A5">
        <w:t xml:space="preserve"> </w:t>
      </w:r>
      <w:r w:rsidR="00B87830">
        <w:t>(работ) на территории муниципального образования «</w:t>
      </w:r>
      <w:r w:rsidR="009704A5">
        <w:t>Н</w:t>
      </w:r>
      <w:r w:rsidR="00B87830">
        <w:t>ижнеилимский район»</w:t>
      </w:r>
      <w:r w:rsidR="00281A2A">
        <w:t>;</w:t>
      </w:r>
      <w:r w:rsidR="009704A5">
        <w:t xml:space="preserve"> </w:t>
      </w:r>
    </w:p>
    <w:p w:rsidR="00127C83" w:rsidRDefault="00127C83" w:rsidP="00943DA5">
      <w:pPr>
        <w:jc w:val="both"/>
      </w:pPr>
      <w:r>
        <w:t xml:space="preserve">- </w:t>
      </w:r>
      <w:r w:rsidR="009704A5">
        <w:t>от 22.01.2009</w:t>
      </w:r>
      <w:r w:rsidR="00EE3E29">
        <w:t xml:space="preserve"> </w:t>
      </w:r>
      <w:r w:rsidR="009704A5">
        <w:t>г. №</w:t>
      </w:r>
      <w:r w:rsidR="001F1025">
        <w:t xml:space="preserve"> </w:t>
      </w:r>
      <w:r w:rsidR="009704A5">
        <w:t>31 «</w:t>
      </w:r>
      <w:r w:rsidR="00EE3E29">
        <w:t xml:space="preserve"> </w:t>
      </w:r>
      <w:r w:rsidR="009704A5">
        <w:t>Об  внесении изменений в Порядок ведения реестра расходных обязательств муниципального об</w:t>
      </w:r>
      <w:r>
        <w:t>разования «Нижнеилимский район»</w:t>
      </w:r>
      <w:r w:rsidR="00281A2A">
        <w:t>;</w:t>
      </w:r>
    </w:p>
    <w:p w:rsidR="00281A2A" w:rsidRDefault="00DF3C5F" w:rsidP="00943DA5">
      <w:pPr>
        <w:jc w:val="both"/>
      </w:pPr>
      <w:r>
        <w:t>А также, в</w:t>
      </w:r>
      <w:r w:rsidR="00127C83">
        <w:t xml:space="preserve"> соответствии с Инструкцией о порядке составления и </w:t>
      </w:r>
      <w:r w:rsidR="00281A2A">
        <w:t>пред</w:t>
      </w:r>
      <w:r w:rsidR="00127C83">
        <w:t>ставления годовой, квартальной и месячной отчетности об исполнении бюджетной системы РФ, утвержденной приказом Минфина России от</w:t>
      </w:r>
      <w:r w:rsidR="00281A2A">
        <w:t xml:space="preserve"> 28.12.2010 года № 191н</w:t>
      </w:r>
      <w:r w:rsidR="00127C83">
        <w:t xml:space="preserve"> </w:t>
      </w:r>
      <w:r w:rsidR="00281A2A">
        <w:t xml:space="preserve">Финансовым управлением </w:t>
      </w:r>
      <w:r>
        <w:t xml:space="preserve"> </w:t>
      </w:r>
      <w:r w:rsidR="00281A2A">
        <w:t>были представлены следующие</w:t>
      </w:r>
      <w:r>
        <w:t xml:space="preserve"> приложения и сведения</w:t>
      </w:r>
      <w:r w:rsidR="00281A2A">
        <w:t>:</w:t>
      </w:r>
    </w:p>
    <w:p w:rsidR="00281A2A" w:rsidRDefault="00281A2A" w:rsidP="00943DA5">
      <w:pPr>
        <w:jc w:val="both"/>
      </w:pPr>
      <w:r>
        <w:t>-</w:t>
      </w:r>
      <w:r w:rsidR="009704A5">
        <w:t xml:space="preserve"> </w:t>
      </w:r>
      <w:r w:rsidR="00003CB2">
        <w:t>сведения по дебиторской и кредитор</w:t>
      </w:r>
      <w:r>
        <w:t>ской задолженности (ф. 0503169);</w:t>
      </w:r>
      <w:r w:rsidR="00003CB2">
        <w:t xml:space="preserve"> </w:t>
      </w:r>
    </w:p>
    <w:p w:rsidR="00281A2A" w:rsidRDefault="00281A2A" w:rsidP="00943DA5">
      <w:pPr>
        <w:jc w:val="both"/>
      </w:pPr>
      <w:r>
        <w:t xml:space="preserve">- </w:t>
      </w:r>
      <w:r w:rsidR="00003CB2">
        <w:t>сведения о государственном (му</w:t>
      </w:r>
      <w:r>
        <w:t>ниципальном) долге (ф. 0503172);</w:t>
      </w:r>
      <w:r w:rsidR="00003CB2">
        <w:t xml:space="preserve">  </w:t>
      </w:r>
    </w:p>
    <w:p w:rsidR="00281A2A" w:rsidRDefault="00281A2A" w:rsidP="00943DA5">
      <w:pPr>
        <w:jc w:val="both"/>
      </w:pPr>
      <w:r>
        <w:t xml:space="preserve">- </w:t>
      </w:r>
      <w:r w:rsidR="00003CB2">
        <w:t>сведения о количестве подведомс</w:t>
      </w:r>
      <w:r>
        <w:t>твенных учреждений (ф. 0503161);</w:t>
      </w:r>
    </w:p>
    <w:p w:rsidR="00281A2A" w:rsidRDefault="00281A2A" w:rsidP="00943DA5">
      <w:pPr>
        <w:jc w:val="both"/>
      </w:pPr>
      <w:r>
        <w:t xml:space="preserve">- </w:t>
      </w:r>
      <w:r w:rsidR="00003CB2">
        <w:t>расшифровка остатков средств, сложившихся на счетах бюджета Нижнеилимского муниципального района по сос</w:t>
      </w:r>
      <w:r w:rsidR="00D25DD7">
        <w:t>тоянию на 1 января 2013</w:t>
      </w:r>
      <w:r>
        <w:t>года;</w:t>
      </w:r>
    </w:p>
    <w:p w:rsidR="00943DA5" w:rsidRDefault="00281A2A" w:rsidP="00943DA5">
      <w:pPr>
        <w:jc w:val="both"/>
      </w:pPr>
      <w:r>
        <w:t xml:space="preserve">- </w:t>
      </w:r>
      <w:r w:rsidR="00003CB2">
        <w:t>анализ недоимки Нижнеилимского муниципального района.</w:t>
      </w:r>
      <w:r w:rsidR="00B87830">
        <w:t xml:space="preserve"> </w:t>
      </w:r>
      <w:r w:rsidR="00FC4BDC">
        <w:t xml:space="preserve"> </w:t>
      </w:r>
    </w:p>
    <w:p w:rsidR="00EB41F4" w:rsidRDefault="00EB41F4" w:rsidP="00943DA5">
      <w:pPr>
        <w:jc w:val="both"/>
      </w:pPr>
    </w:p>
    <w:p w:rsidR="0099583E" w:rsidRDefault="0099583E" w:rsidP="00943DA5">
      <w:pPr>
        <w:jc w:val="center"/>
        <w:rPr>
          <w:b/>
        </w:rPr>
      </w:pPr>
      <w:r w:rsidRPr="0099583E">
        <w:rPr>
          <w:b/>
        </w:rPr>
        <w:t>Соблюдение бюджетного законодательства при организации исполнения районного бюджета</w:t>
      </w:r>
    </w:p>
    <w:p w:rsidR="00CD0628" w:rsidRDefault="00CD0628" w:rsidP="00943DA5">
      <w:pPr>
        <w:jc w:val="center"/>
        <w:rPr>
          <w:b/>
        </w:rPr>
      </w:pPr>
    </w:p>
    <w:p w:rsidR="00F016DC" w:rsidRDefault="00E44D5D" w:rsidP="00CD061E">
      <w:pPr>
        <w:jc w:val="both"/>
      </w:pPr>
      <w:r>
        <w:tab/>
      </w:r>
      <w:r w:rsidR="0099583E">
        <w:t>При и</w:t>
      </w:r>
      <w:r w:rsidR="00D25DD7">
        <w:t>сполнении бюджета района за 2012</w:t>
      </w:r>
      <w:r w:rsidR="0099583E">
        <w:t xml:space="preserve"> год органы местного самоуправления муниципального образования «Нижнеилимский район» руководствовались</w:t>
      </w:r>
      <w:r w:rsidR="00774060">
        <w:t xml:space="preserve"> Бюджетным Кодексом РФ, Уставом МО «Нижнеилимский район» (далее по тексту Устав района), принятый решением Думы от 30.08.2007г. № 240 (с изм</w:t>
      </w:r>
      <w:r w:rsidR="00251511">
        <w:t xml:space="preserve">енениями </w:t>
      </w:r>
      <w:r w:rsidR="00774060">
        <w:t>и</w:t>
      </w:r>
      <w:r w:rsidR="0097085A">
        <w:t xml:space="preserve"> </w:t>
      </w:r>
      <w:r w:rsidR="00774060">
        <w:t>допол</w:t>
      </w:r>
      <w:r w:rsidR="00251511">
        <w:t>нениями</w:t>
      </w:r>
      <w:r w:rsidR="00774060">
        <w:t>)</w:t>
      </w:r>
      <w:r w:rsidR="008F2F11">
        <w:t>, П</w:t>
      </w:r>
      <w:r w:rsidR="00774060">
        <w:t>оложением «О бюджетном процессе в муниципальном образовании  «Нижнеилимский район»</w:t>
      </w:r>
      <w:r w:rsidR="00BC78AD">
        <w:t>,</w:t>
      </w:r>
      <w:r w:rsidR="00774060">
        <w:t xml:space="preserve">  утвержденный реше</w:t>
      </w:r>
      <w:r w:rsidR="009D2342">
        <w:t>нием Думы от 25.10.2012 г. № 241</w:t>
      </w:r>
      <w:r w:rsidR="008F2F11">
        <w:t>.</w:t>
      </w:r>
    </w:p>
    <w:p w:rsidR="008F2F11" w:rsidRDefault="00E44D5D" w:rsidP="00CD061E">
      <w:pPr>
        <w:jc w:val="both"/>
      </w:pPr>
      <w:r>
        <w:tab/>
      </w:r>
      <w:r w:rsidR="00F016DC">
        <w:t xml:space="preserve">Во исполнение требований, предусмотренных ст. 219 БК РФ, </w:t>
      </w:r>
      <w:r w:rsidR="00413D4F">
        <w:t>Приказом от 25.12.2008г. № 19-од Финансового управления</w:t>
      </w:r>
      <w:r w:rsidR="00947939">
        <w:t xml:space="preserve"> </w:t>
      </w:r>
      <w:r w:rsidR="00413D4F">
        <w:t xml:space="preserve"> разработан и утвержден  «П</w:t>
      </w:r>
      <w:r w:rsidR="00301F81">
        <w:t xml:space="preserve">орядок </w:t>
      </w:r>
      <w:r w:rsidR="00301F81">
        <w:lastRenderedPageBreak/>
        <w:t>исполнения районного бюджета</w:t>
      </w:r>
      <w:r w:rsidR="00413D4F">
        <w:t xml:space="preserve"> Нижнеилимского муниципального района по расходам».</w:t>
      </w:r>
      <w:r w:rsidR="00301F81">
        <w:t xml:space="preserve"> (далее - Порядок исполнения бюджета).</w:t>
      </w:r>
      <w:r w:rsidR="008F2F11">
        <w:t xml:space="preserve"> </w:t>
      </w:r>
    </w:p>
    <w:p w:rsidR="00301F81" w:rsidRPr="0099583E" w:rsidRDefault="00E44D5D" w:rsidP="00CD061E">
      <w:pPr>
        <w:jc w:val="both"/>
      </w:pPr>
      <w:r>
        <w:tab/>
      </w:r>
      <w:r w:rsidR="00301F81">
        <w:t>В ходе проверки КСП контрольны</w:t>
      </w:r>
      <w:r w:rsidR="00413D4F">
        <w:t>х мероприятий установлено, что Ф</w:t>
      </w:r>
      <w:r w:rsidR="00301F81">
        <w:t>ина</w:t>
      </w:r>
      <w:r w:rsidR="00DF3C5F">
        <w:t>нсовым управлением</w:t>
      </w:r>
      <w:r w:rsidR="00301F81">
        <w:t>, главными распорядителями бюджетных средств</w:t>
      </w:r>
      <w:r w:rsidR="00DF3C5F">
        <w:t>,</w:t>
      </w:r>
      <w:r w:rsidR="00947939">
        <w:t xml:space="preserve"> </w:t>
      </w:r>
      <w:r w:rsidR="00301F81">
        <w:t>процедуры санкционирования расходов и их финансирования при исполнении бюджета в части утверждения сводной бюджетной росписи</w:t>
      </w:r>
      <w:r w:rsidR="004E5DB7">
        <w:t xml:space="preserve">, доведения уведомлений о бюджетных ассигнованиях, утверждения лимитов бюджетных обязательств в целом в отчетном периоде </w:t>
      </w:r>
      <w:r w:rsidR="004E5DB7" w:rsidRPr="004E5DB7">
        <w:rPr>
          <w:b/>
        </w:rPr>
        <w:t>соблюдались.</w:t>
      </w:r>
    </w:p>
    <w:p w:rsidR="00503AB8" w:rsidRDefault="00DF3C5F" w:rsidP="00CD061E">
      <w:pPr>
        <w:pStyle w:val="ac"/>
        <w:ind w:left="0"/>
        <w:jc w:val="both"/>
      </w:pPr>
      <w:r>
        <w:tab/>
        <w:t>Наряду с этим,</w:t>
      </w:r>
      <w:r w:rsidR="004E5DB7">
        <w:t xml:space="preserve"> сводная бюджетная отчетность составлена на основании бюджетной отчетности, представленной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</w:t>
      </w:r>
      <w:r>
        <w:t>, то есть, в соответствии со ст. 264.2 БК РФ.</w:t>
      </w:r>
    </w:p>
    <w:p w:rsidR="00644F1C" w:rsidRDefault="00DF3C5F" w:rsidP="00CD061E">
      <w:pPr>
        <w:pStyle w:val="ac"/>
        <w:ind w:left="0"/>
        <w:jc w:val="both"/>
      </w:pPr>
      <w:r>
        <w:tab/>
      </w:r>
      <w:r w:rsidR="00644F1C">
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28.12.2010г. № 191н дейст</w:t>
      </w:r>
      <w:r w:rsidR="00413D4F">
        <w:t>вующей в отчетном 201</w:t>
      </w:r>
      <w:r w:rsidR="007F3EA0">
        <w:t>2</w:t>
      </w:r>
      <w:r w:rsidR="00413D4F">
        <w:t xml:space="preserve"> году, в Ф</w:t>
      </w:r>
      <w:r w:rsidR="003E0FF3">
        <w:t>инансовое управление</w:t>
      </w:r>
      <w:r w:rsidR="00413D4F">
        <w:t xml:space="preserve"> </w:t>
      </w:r>
      <w:r w:rsidR="00644F1C">
        <w:t>были представлены отчеты в полном объеме.</w:t>
      </w:r>
    </w:p>
    <w:p w:rsidR="00644F1C" w:rsidRDefault="00644F1C" w:rsidP="00CD061E">
      <w:pPr>
        <w:pStyle w:val="ac"/>
        <w:ind w:left="0"/>
        <w:jc w:val="both"/>
      </w:pPr>
      <w:r>
        <w:t>Отчетность в бюджетных учреждениях муниципального образования «Нижнеилимский район» в 201</w:t>
      </w:r>
      <w:r w:rsidR="007F3EA0">
        <w:t>2</w:t>
      </w:r>
      <w:r>
        <w:t xml:space="preserve"> году составлялись в соответствии с вышеназванной Инструкцией</w:t>
      </w:r>
      <w:r w:rsidR="00413D4F">
        <w:t xml:space="preserve"> Минфина Российской Федерации.</w:t>
      </w:r>
    </w:p>
    <w:p w:rsidR="00644F1C" w:rsidRPr="00173BEA" w:rsidRDefault="00413D4F" w:rsidP="00173BEA">
      <w:pPr>
        <w:pStyle w:val="ac"/>
        <w:shd w:val="clear" w:color="auto" w:fill="FFFFFF" w:themeFill="background1"/>
        <w:ind w:left="0"/>
        <w:jc w:val="both"/>
        <w:rPr>
          <w:color w:val="000000" w:themeColor="text1"/>
        </w:rPr>
      </w:pPr>
      <w:r w:rsidRPr="00173BEA">
        <w:rPr>
          <w:color w:val="000000" w:themeColor="text1"/>
        </w:rPr>
        <w:t>Ф</w:t>
      </w:r>
      <w:r w:rsidR="00E940E9" w:rsidRPr="00173BEA">
        <w:rPr>
          <w:color w:val="000000" w:themeColor="text1"/>
        </w:rPr>
        <w:t>инансовым управлением разработан и утвержд</w:t>
      </w:r>
      <w:r w:rsidR="00F60507">
        <w:rPr>
          <w:color w:val="000000" w:themeColor="text1"/>
        </w:rPr>
        <w:t>ен своим Приказом от 12</w:t>
      </w:r>
      <w:r w:rsidRPr="00173BEA">
        <w:rPr>
          <w:color w:val="000000" w:themeColor="text1"/>
        </w:rPr>
        <w:t>.12.201</w:t>
      </w:r>
      <w:r w:rsidR="00F60507">
        <w:rPr>
          <w:color w:val="000000" w:themeColor="text1"/>
        </w:rPr>
        <w:t>2</w:t>
      </w:r>
      <w:r w:rsidRPr="00173BEA">
        <w:rPr>
          <w:color w:val="000000" w:themeColor="text1"/>
        </w:rPr>
        <w:t>г. №</w:t>
      </w:r>
      <w:r w:rsidR="00F60507">
        <w:rPr>
          <w:color w:val="000000" w:themeColor="text1"/>
        </w:rPr>
        <w:t xml:space="preserve"> 31</w:t>
      </w:r>
      <w:r w:rsidRPr="00173BEA">
        <w:rPr>
          <w:color w:val="000000" w:themeColor="text1"/>
        </w:rPr>
        <w:t>-од</w:t>
      </w:r>
      <w:r w:rsidR="00E940E9" w:rsidRPr="00173BEA">
        <w:rPr>
          <w:color w:val="000000" w:themeColor="text1"/>
        </w:rPr>
        <w:t xml:space="preserve"> </w:t>
      </w:r>
      <w:r w:rsidRPr="00173BEA">
        <w:rPr>
          <w:color w:val="000000" w:themeColor="text1"/>
        </w:rPr>
        <w:t>«</w:t>
      </w:r>
      <w:r w:rsidR="00E940E9" w:rsidRPr="00173BEA">
        <w:rPr>
          <w:color w:val="000000" w:themeColor="text1"/>
        </w:rPr>
        <w:t>Порядок завершения операций по исполнению бюджета Нижнеилимск</w:t>
      </w:r>
      <w:r w:rsidR="00F60507">
        <w:rPr>
          <w:color w:val="000000" w:themeColor="text1"/>
        </w:rPr>
        <w:t>ого муниципального района в 2012</w:t>
      </w:r>
      <w:r w:rsidR="00E940E9" w:rsidRPr="00173BEA">
        <w:rPr>
          <w:color w:val="000000" w:themeColor="text1"/>
        </w:rPr>
        <w:t xml:space="preserve"> году и об</w:t>
      </w:r>
      <w:r w:rsidR="00BA73AC" w:rsidRPr="00173BEA">
        <w:rPr>
          <w:color w:val="000000" w:themeColor="text1"/>
        </w:rPr>
        <w:t xml:space="preserve">еспечению получателей бюджетных </w:t>
      </w:r>
      <w:r w:rsidR="00E940E9" w:rsidRPr="00173BEA">
        <w:rPr>
          <w:color w:val="000000" w:themeColor="text1"/>
        </w:rPr>
        <w:t xml:space="preserve">средств </w:t>
      </w:r>
      <w:r w:rsidR="00BA73AC" w:rsidRPr="00173BEA">
        <w:rPr>
          <w:color w:val="000000" w:themeColor="text1"/>
        </w:rPr>
        <w:t>местного бюджета при завершении текущего финансового года наличными деньгами, необходимыми для</w:t>
      </w:r>
      <w:r w:rsidR="00173BEA" w:rsidRPr="00173BEA">
        <w:rPr>
          <w:color w:val="000000" w:themeColor="text1"/>
        </w:rPr>
        <w:t xml:space="preserve"> </w:t>
      </w:r>
      <w:r w:rsidR="00173BEA" w:rsidRPr="00173BEA">
        <w:rPr>
          <w:color w:val="000000" w:themeColor="text1"/>
        </w:rPr>
        <w:tab/>
        <w:t>Во исполнении требований, предусмотренных статьями 217.1,242 БК РФ</w:t>
      </w:r>
      <w:r w:rsidR="00BA73AC" w:rsidRPr="00173BEA">
        <w:rPr>
          <w:color w:val="000000" w:themeColor="text1"/>
        </w:rPr>
        <w:t xml:space="preserve"> осуществления их деятельности в нерабочие праздничные дни в РФ в январе очередного финансового года» (далее Порядок завершения операций»)</w:t>
      </w:r>
      <w:r w:rsidR="00E940E9" w:rsidRPr="00173BEA">
        <w:rPr>
          <w:color w:val="000000" w:themeColor="text1"/>
        </w:rPr>
        <w:t>.</w:t>
      </w:r>
    </w:p>
    <w:p w:rsidR="004C108D" w:rsidRDefault="00E44D5D" w:rsidP="00B00F97">
      <w:pPr>
        <w:pStyle w:val="ac"/>
        <w:ind w:left="0"/>
        <w:jc w:val="both"/>
      </w:pPr>
      <w:r>
        <w:tab/>
      </w:r>
      <w:r w:rsidR="00E940E9">
        <w:t xml:space="preserve">Согласно ст.242 БК РФ, п.2 </w:t>
      </w:r>
      <w:r w:rsidR="00AC6A14">
        <w:t>«</w:t>
      </w:r>
      <w:r w:rsidR="00E940E9">
        <w:t>Порядка завершения операций</w:t>
      </w:r>
      <w:r w:rsidR="00AC6A14">
        <w:t>»</w:t>
      </w:r>
      <w:r w:rsidR="00E940E9">
        <w:t xml:space="preserve">, исполнение районного </w:t>
      </w:r>
      <w:r w:rsidR="00AC6A14">
        <w:t>бюджета Нижнеилимского муниципального района за 201</w:t>
      </w:r>
      <w:r w:rsidR="007F3EA0">
        <w:t>2 год завершено 31.12.2012</w:t>
      </w:r>
      <w:r w:rsidR="00E940E9">
        <w:t xml:space="preserve"> года. В выписке из лицевого счета бюджета №</w:t>
      </w:r>
      <w:r w:rsidR="0097085A">
        <w:t xml:space="preserve"> </w:t>
      </w:r>
      <w:r w:rsidR="007F3EA0">
        <w:t>02343006350 на 01.01</w:t>
      </w:r>
      <w:r w:rsidR="0097085A">
        <w:t>.201</w:t>
      </w:r>
      <w:r w:rsidR="007F3EA0">
        <w:t>3</w:t>
      </w:r>
      <w:r w:rsidR="0097085A">
        <w:t xml:space="preserve"> года </w:t>
      </w:r>
      <w:r w:rsidR="00E940E9">
        <w:t xml:space="preserve"> отражены остатки бюджетных средств на конец финансового года в размере</w:t>
      </w:r>
      <w:r w:rsidR="00D51CCB">
        <w:t xml:space="preserve"> 3</w:t>
      </w:r>
      <w:r w:rsidR="007F3EA0">
        <w:t> </w:t>
      </w:r>
      <w:r w:rsidR="00D51CCB">
        <w:t>3</w:t>
      </w:r>
      <w:r w:rsidR="007F3EA0">
        <w:t>36 053,51</w:t>
      </w:r>
      <w:r w:rsidR="00E940E9">
        <w:t xml:space="preserve"> рублей.</w:t>
      </w:r>
      <w:r w:rsidR="0097085A">
        <w:t xml:space="preserve"> </w:t>
      </w:r>
    </w:p>
    <w:p w:rsidR="00B00F97" w:rsidRDefault="00B00F97" w:rsidP="00B00F97">
      <w:pPr>
        <w:pStyle w:val="ac"/>
        <w:ind w:left="0"/>
        <w:jc w:val="right"/>
      </w:pPr>
      <w:r>
        <w:t>(рублей)</w:t>
      </w:r>
    </w:p>
    <w:tbl>
      <w:tblPr>
        <w:tblStyle w:val="a3"/>
        <w:tblW w:w="0" w:type="auto"/>
        <w:tblLook w:val="04A0"/>
      </w:tblPr>
      <w:tblGrid>
        <w:gridCol w:w="466"/>
        <w:gridCol w:w="7580"/>
        <w:gridCol w:w="1525"/>
      </w:tblGrid>
      <w:tr w:rsidR="00B00F97" w:rsidTr="00D83265">
        <w:tc>
          <w:tcPr>
            <w:tcW w:w="8046" w:type="dxa"/>
            <w:gridSpan w:val="2"/>
            <w:tcBorders>
              <w:bottom w:val="single" w:sz="4" w:space="0" w:color="000000"/>
            </w:tcBorders>
            <w:vAlign w:val="center"/>
          </w:tcPr>
          <w:p w:rsidR="00B00F97" w:rsidRPr="00D83265" w:rsidRDefault="0030024A" w:rsidP="0030024A">
            <w:pPr>
              <w:pStyle w:val="ac"/>
              <w:ind w:left="0"/>
              <w:jc w:val="center"/>
              <w:rPr>
                <w:b/>
              </w:rPr>
            </w:pPr>
            <w:r w:rsidRPr="00D83265">
              <w:rPr>
                <w:b/>
              </w:rPr>
              <w:t>Наименов</w:t>
            </w:r>
            <w:r w:rsidR="00B00F97" w:rsidRPr="00D83265">
              <w:rPr>
                <w:b/>
              </w:rPr>
              <w:t>ание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B00F97" w:rsidRPr="00D83265" w:rsidRDefault="00B00F97" w:rsidP="0030024A">
            <w:pPr>
              <w:pStyle w:val="ac"/>
              <w:ind w:left="0"/>
              <w:jc w:val="center"/>
              <w:rPr>
                <w:b/>
              </w:rPr>
            </w:pPr>
            <w:r w:rsidRPr="00D83265">
              <w:rPr>
                <w:b/>
              </w:rPr>
              <w:t>сумма</w:t>
            </w:r>
          </w:p>
        </w:tc>
      </w:tr>
      <w:tr w:rsidR="00B00F97" w:rsidTr="00D83265">
        <w:trPr>
          <w:trHeight w:val="475"/>
        </w:trPr>
        <w:tc>
          <w:tcPr>
            <w:tcW w:w="8046" w:type="dxa"/>
            <w:gridSpan w:val="2"/>
            <w:shd w:val="clear" w:color="auto" w:fill="D9D9D9" w:themeFill="background1" w:themeFillShade="D9"/>
            <w:vAlign w:val="center"/>
          </w:tcPr>
          <w:p w:rsidR="00B00F97" w:rsidRPr="00D83265" w:rsidRDefault="00B00F97" w:rsidP="00D83265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D83265">
              <w:rPr>
                <w:b/>
                <w:sz w:val="20"/>
                <w:szCs w:val="20"/>
              </w:rPr>
              <w:t>Остатки бюджетных средств на счете муниципального района, всего: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B00F97" w:rsidRPr="00D83265" w:rsidRDefault="00F60507" w:rsidP="0030024A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3 336 053,51</w:t>
            </w:r>
          </w:p>
        </w:tc>
      </w:tr>
      <w:tr w:rsidR="008D03CB" w:rsidTr="00D83265">
        <w:trPr>
          <w:trHeight w:val="425"/>
        </w:trPr>
        <w:tc>
          <w:tcPr>
            <w:tcW w:w="4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3CB" w:rsidRPr="00D83265" w:rsidRDefault="008D03CB" w:rsidP="0030024A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D8326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5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3CB" w:rsidRPr="00D83265" w:rsidRDefault="008D03CB" w:rsidP="0030024A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D83265">
              <w:rPr>
                <w:b/>
                <w:sz w:val="20"/>
                <w:szCs w:val="20"/>
              </w:rPr>
              <w:t>Остатки средств  по межбюджетным трансфертам: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8D03CB" w:rsidRPr="00D83265" w:rsidRDefault="008D03CB" w:rsidP="0030024A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D83265">
              <w:rPr>
                <w:b/>
                <w:sz w:val="20"/>
                <w:szCs w:val="20"/>
              </w:rPr>
              <w:t>1 </w:t>
            </w:r>
            <w:r w:rsidR="00F60507">
              <w:rPr>
                <w:b/>
                <w:sz w:val="20"/>
                <w:szCs w:val="20"/>
              </w:rPr>
              <w:t xml:space="preserve"> 154 366,22</w:t>
            </w:r>
          </w:p>
        </w:tc>
      </w:tr>
      <w:tr w:rsidR="00B00F97" w:rsidTr="00D83265"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B00F97" w:rsidRPr="00D83265" w:rsidRDefault="00B00F97" w:rsidP="0030024A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D83265">
              <w:rPr>
                <w:b/>
                <w:sz w:val="20"/>
                <w:szCs w:val="20"/>
              </w:rPr>
              <w:t>1.</w:t>
            </w:r>
            <w:r w:rsidR="008D03CB" w:rsidRPr="00D832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80" w:type="dxa"/>
            <w:tcBorders>
              <w:left w:val="single" w:sz="4" w:space="0" w:color="auto"/>
            </w:tcBorders>
            <w:vAlign w:val="center"/>
          </w:tcPr>
          <w:p w:rsidR="00B00F97" w:rsidRPr="00D83265" w:rsidRDefault="00F60507" w:rsidP="0030024A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государственная целевая программа поддержки и развития учреждений дошкольного образования в Иркутской области на 2009-2014 годы</w:t>
            </w:r>
          </w:p>
        </w:tc>
        <w:tc>
          <w:tcPr>
            <w:tcW w:w="1525" w:type="dxa"/>
            <w:vAlign w:val="center"/>
          </w:tcPr>
          <w:p w:rsidR="00B00F97" w:rsidRPr="00D83265" w:rsidRDefault="0004187C" w:rsidP="0030024A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851 000,00</w:t>
            </w:r>
          </w:p>
        </w:tc>
      </w:tr>
      <w:tr w:rsidR="00B00F97" w:rsidTr="00D83265"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B00F97" w:rsidRPr="00D83265" w:rsidRDefault="008D03CB" w:rsidP="0030024A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D83265">
              <w:rPr>
                <w:sz w:val="20"/>
                <w:szCs w:val="20"/>
              </w:rPr>
              <w:t>1.2</w:t>
            </w:r>
          </w:p>
        </w:tc>
        <w:tc>
          <w:tcPr>
            <w:tcW w:w="7580" w:type="dxa"/>
            <w:tcBorders>
              <w:left w:val="single" w:sz="4" w:space="0" w:color="auto"/>
            </w:tcBorders>
            <w:vAlign w:val="center"/>
          </w:tcPr>
          <w:p w:rsidR="00B00F97" w:rsidRPr="00D83265" w:rsidRDefault="0004187C" w:rsidP="0030024A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из областного бюджета на осуществление госполномочий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525" w:type="dxa"/>
            <w:vAlign w:val="center"/>
          </w:tcPr>
          <w:p w:rsidR="00B00F97" w:rsidRPr="00D83265" w:rsidRDefault="0004187C" w:rsidP="0030024A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6 851,72</w:t>
            </w:r>
          </w:p>
        </w:tc>
      </w:tr>
      <w:tr w:rsidR="00B00F97" w:rsidTr="00D83265"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B00F97" w:rsidRPr="00D83265" w:rsidRDefault="008D03CB" w:rsidP="0030024A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D83265">
              <w:rPr>
                <w:sz w:val="20"/>
                <w:szCs w:val="20"/>
              </w:rPr>
              <w:t>1.3</w:t>
            </w:r>
          </w:p>
        </w:tc>
        <w:tc>
          <w:tcPr>
            <w:tcW w:w="7580" w:type="dxa"/>
            <w:tcBorders>
              <w:left w:val="single" w:sz="4" w:space="0" w:color="auto"/>
            </w:tcBorders>
            <w:vAlign w:val="center"/>
          </w:tcPr>
          <w:p w:rsidR="00B00F97" w:rsidRPr="00D83265" w:rsidRDefault="00F60507" w:rsidP="0030024A">
            <w:pPr>
              <w:pStyle w:val="ac"/>
              <w:ind w:left="0"/>
              <w:jc w:val="both"/>
            </w:pPr>
            <w:r>
              <w:t>Субсидия из федерального бюджета</w:t>
            </w:r>
            <w:r w:rsidR="0030024A" w:rsidRPr="00D83265">
              <w:t xml:space="preserve"> на реал</w:t>
            </w:r>
            <w:r>
              <w:t>изацию ФЦП «Жилище» на 2011-2015</w:t>
            </w:r>
            <w:r w:rsidR="0030024A" w:rsidRPr="00D83265">
              <w:t>гг.подпрограмма «Обеспечение жильем молодых семей»</w:t>
            </w:r>
          </w:p>
        </w:tc>
        <w:tc>
          <w:tcPr>
            <w:tcW w:w="1525" w:type="dxa"/>
            <w:vAlign w:val="center"/>
          </w:tcPr>
          <w:p w:rsidR="00B00F97" w:rsidRPr="00D83265" w:rsidRDefault="00F60507" w:rsidP="0030024A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11 559,50</w:t>
            </w:r>
          </w:p>
        </w:tc>
      </w:tr>
      <w:tr w:rsidR="00B00F97" w:rsidTr="00D83265"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B00F97" w:rsidRPr="00D83265" w:rsidRDefault="0030024A" w:rsidP="0030024A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D83265">
              <w:rPr>
                <w:sz w:val="20"/>
                <w:szCs w:val="20"/>
              </w:rPr>
              <w:t>1.4</w:t>
            </w:r>
          </w:p>
        </w:tc>
        <w:tc>
          <w:tcPr>
            <w:tcW w:w="758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00F97" w:rsidRPr="00D83265" w:rsidRDefault="0030024A" w:rsidP="0030024A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D83265">
              <w:rPr>
                <w:sz w:val="20"/>
                <w:szCs w:val="20"/>
              </w:rPr>
              <w:t>Субсидия из областного бюджета на реализацию ОГСП «Молодым семьям</w:t>
            </w:r>
            <w:r w:rsidR="00D83265" w:rsidRPr="00D83265">
              <w:rPr>
                <w:sz w:val="20"/>
                <w:szCs w:val="20"/>
              </w:rPr>
              <w:t xml:space="preserve"> </w:t>
            </w:r>
            <w:r w:rsidRPr="00D83265">
              <w:rPr>
                <w:sz w:val="20"/>
                <w:szCs w:val="20"/>
              </w:rPr>
              <w:t>-</w:t>
            </w:r>
            <w:r w:rsidR="00D83265" w:rsidRPr="00D83265">
              <w:rPr>
                <w:sz w:val="20"/>
                <w:szCs w:val="20"/>
              </w:rPr>
              <w:t xml:space="preserve"> </w:t>
            </w:r>
            <w:r w:rsidRPr="00D83265">
              <w:rPr>
                <w:sz w:val="20"/>
                <w:szCs w:val="20"/>
              </w:rPr>
              <w:t>доступное жилье» на 2005-2019 годы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B00F97" w:rsidRPr="00D83265" w:rsidRDefault="00F60507" w:rsidP="0030024A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284 955,00</w:t>
            </w:r>
          </w:p>
        </w:tc>
      </w:tr>
      <w:tr w:rsidR="00B00F97" w:rsidTr="00BD61D8">
        <w:trPr>
          <w:trHeight w:val="442"/>
        </w:trPr>
        <w:tc>
          <w:tcPr>
            <w:tcW w:w="4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F97" w:rsidRPr="00D83265" w:rsidRDefault="0030024A" w:rsidP="0030024A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D83265">
              <w:rPr>
                <w:sz w:val="20"/>
                <w:szCs w:val="20"/>
              </w:rPr>
              <w:t>2.</w:t>
            </w:r>
          </w:p>
        </w:tc>
        <w:tc>
          <w:tcPr>
            <w:tcW w:w="75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F97" w:rsidRPr="00D83265" w:rsidRDefault="0030024A" w:rsidP="00D83265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D83265">
              <w:rPr>
                <w:b/>
                <w:sz w:val="20"/>
                <w:szCs w:val="20"/>
              </w:rPr>
              <w:t>Остатки собственных средств бюджета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B00F97" w:rsidRPr="00D83265" w:rsidRDefault="0004187C" w:rsidP="0030024A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1 913 741,94</w:t>
            </w:r>
          </w:p>
        </w:tc>
      </w:tr>
      <w:tr w:rsidR="00B00F97" w:rsidTr="00BD61D8">
        <w:trPr>
          <w:trHeight w:val="353"/>
        </w:trPr>
        <w:tc>
          <w:tcPr>
            <w:tcW w:w="4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F97" w:rsidRDefault="0030024A" w:rsidP="0030024A">
            <w:pPr>
              <w:pStyle w:val="ac"/>
              <w:ind w:left="0"/>
              <w:jc w:val="center"/>
            </w:pPr>
            <w:r>
              <w:t>3.</w:t>
            </w:r>
          </w:p>
        </w:tc>
        <w:tc>
          <w:tcPr>
            <w:tcW w:w="75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F97" w:rsidRPr="00D83265" w:rsidRDefault="0030024A" w:rsidP="00D83265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D83265">
              <w:rPr>
                <w:b/>
                <w:sz w:val="20"/>
                <w:szCs w:val="20"/>
              </w:rPr>
              <w:t>Невыяснен</w:t>
            </w:r>
            <w:r w:rsidR="00D83265" w:rsidRPr="00D83265">
              <w:rPr>
                <w:b/>
                <w:sz w:val="20"/>
                <w:szCs w:val="20"/>
              </w:rPr>
              <w:t>н</w:t>
            </w:r>
            <w:r w:rsidRPr="00D83265">
              <w:rPr>
                <w:b/>
                <w:sz w:val="20"/>
                <w:szCs w:val="20"/>
              </w:rPr>
              <w:t>ые поступления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B00F97" w:rsidRPr="00D83265" w:rsidRDefault="0004187C" w:rsidP="0030024A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267 945,35</w:t>
            </w:r>
          </w:p>
        </w:tc>
      </w:tr>
    </w:tbl>
    <w:p w:rsidR="00B00F97" w:rsidRDefault="00B00F97" w:rsidP="00CD061E">
      <w:pPr>
        <w:pStyle w:val="ac"/>
        <w:ind w:left="0"/>
        <w:jc w:val="both"/>
      </w:pPr>
    </w:p>
    <w:p w:rsidR="00AA23DD" w:rsidRDefault="00C27B7F" w:rsidP="00C27B7F">
      <w:pPr>
        <w:pStyle w:val="ac"/>
        <w:ind w:left="0" w:hanging="708"/>
        <w:jc w:val="both"/>
      </w:pPr>
      <w:r>
        <w:t xml:space="preserve">            </w:t>
      </w:r>
      <w:r w:rsidR="002D3B6E">
        <w:tab/>
      </w:r>
      <w:r w:rsidR="00541EEE">
        <w:t>В соответствии со статьей 215.1 Бюджетного кодекс</w:t>
      </w:r>
      <w:r w:rsidR="00802CE2">
        <w:t xml:space="preserve">а </w:t>
      </w:r>
      <w:r w:rsidR="003B272B">
        <w:t xml:space="preserve">РФ, </w:t>
      </w:r>
      <w:r w:rsidR="001563D0">
        <w:t>кассовое обслуживание исполнения</w:t>
      </w:r>
      <w:r w:rsidR="00541EEE">
        <w:t xml:space="preserve"> бюджета </w:t>
      </w:r>
      <w:r w:rsidR="001563D0">
        <w:t xml:space="preserve">МО «Нижнеилимский район» </w:t>
      </w:r>
      <w:r w:rsidR="00541EEE">
        <w:t>осуществля</w:t>
      </w:r>
      <w:r w:rsidR="003B272B">
        <w:t>лос</w:t>
      </w:r>
      <w:r w:rsidR="00A43BD2">
        <w:t>ь,</w:t>
      </w:r>
      <w:r w:rsidR="003B272B">
        <w:t xml:space="preserve"> в соответствии с </w:t>
      </w:r>
      <w:r w:rsidR="003B272B">
        <w:lastRenderedPageBreak/>
        <w:t>Регламентом о порядке и ус</w:t>
      </w:r>
      <w:r w:rsidR="00146E1C">
        <w:t xml:space="preserve">ловиях обмена информацией </w:t>
      </w:r>
      <w:r w:rsidR="00A43BD2">
        <w:t>с</w:t>
      </w:r>
      <w:r w:rsidR="00057994">
        <w:t xml:space="preserve"> </w:t>
      </w:r>
      <w:r w:rsidR="00A43BD2">
        <w:t>Управлением</w:t>
      </w:r>
      <w:r w:rsidR="00057994">
        <w:t xml:space="preserve"> федерального казначейства</w:t>
      </w:r>
      <w:r w:rsidR="00146E1C">
        <w:t xml:space="preserve"> по</w:t>
      </w:r>
      <w:r w:rsidR="00BC2F97">
        <w:t xml:space="preserve"> Иркутской </w:t>
      </w:r>
      <w:r w:rsidR="003B272B">
        <w:t xml:space="preserve">области </w:t>
      </w:r>
      <w:r w:rsidR="00057994">
        <w:t xml:space="preserve">и </w:t>
      </w:r>
      <w:r w:rsidR="003B272B">
        <w:t>Финансовы</w:t>
      </w:r>
      <w:r w:rsidR="00947939">
        <w:t>м управлением</w:t>
      </w:r>
      <w:r w:rsidR="001563D0">
        <w:t xml:space="preserve"> администрации Нижнеилимс</w:t>
      </w:r>
      <w:r w:rsidR="00A43BD2">
        <w:t>к</w:t>
      </w:r>
      <w:r w:rsidR="001563D0">
        <w:t>ого муниципального района</w:t>
      </w:r>
      <w:r w:rsidR="00947939">
        <w:t xml:space="preserve"> </w:t>
      </w:r>
      <w:r w:rsidR="00BC2F97">
        <w:t xml:space="preserve"> </w:t>
      </w:r>
      <w:r w:rsidR="00541EEE">
        <w:t>с единого лицевого счета местного бюджета (счет 40204810700000000383</w:t>
      </w:r>
      <w:r w:rsidR="001563D0">
        <w:t xml:space="preserve"> открытый</w:t>
      </w:r>
      <w:r w:rsidR="00541EEE">
        <w:t xml:space="preserve"> в ГРКЦ ГУ Бан</w:t>
      </w:r>
      <w:r w:rsidR="003B272B">
        <w:t>ка России по И</w:t>
      </w:r>
      <w:r w:rsidR="00F80708">
        <w:t>ркутской области).</w:t>
      </w:r>
    </w:p>
    <w:p w:rsidR="005B0733" w:rsidRPr="009D5DE0" w:rsidRDefault="00947939" w:rsidP="00947939">
      <w:pPr>
        <w:tabs>
          <w:tab w:val="left" w:pos="7785"/>
        </w:tabs>
        <w:ind w:firstLine="709"/>
        <w:jc w:val="both"/>
      </w:pPr>
      <w:r w:rsidRPr="00AD3D1D">
        <w:rPr>
          <w:color w:val="000000" w:themeColor="text1"/>
        </w:rPr>
        <w:t xml:space="preserve"> </w:t>
      </w:r>
      <w:r w:rsidR="00B84DD2" w:rsidRPr="00AD3D1D">
        <w:rPr>
          <w:color w:val="000000" w:themeColor="text1"/>
        </w:rPr>
        <w:t>В 201</w:t>
      </w:r>
      <w:r w:rsidR="00C437FC" w:rsidRPr="00AD3D1D">
        <w:rPr>
          <w:color w:val="000000" w:themeColor="text1"/>
        </w:rPr>
        <w:t>2</w:t>
      </w:r>
      <w:r w:rsidR="00B84DD2" w:rsidRPr="00AD3D1D">
        <w:rPr>
          <w:color w:val="000000" w:themeColor="text1"/>
        </w:rPr>
        <w:t xml:space="preserve"> году Финансовым</w:t>
      </w:r>
      <w:r w:rsidR="003E0FF3" w:rsidRPr="00AD3D1D">
        <w:rPr>
          <w:color w:val="000000" w:themeColor="text1"/>
        </w:rPr>
        <w:t xml:space="preserve"> управление</w:t>
      </w:r>
      <w:r w:rsidR="00B84DD2" w:rsidRPr="00AD3D1D">
        <w:rPr>
          <w:color w:val="000000" w:themeColor="text1"/>
        </w:rPr>
        <w:t>м</w:t>
      </w:r>
      <w:r w:rsidR="003E0FF3" w:rsidRPr="00AD3D1D">
        <w:rPr>
          <w:color w:val="000000" w:themeColor="text1"/>
        </w:rPr>
        <w:t xml:space="preserve"> осуществляло</w:t>
      </w:r>
      <w:r w:rsidR="00B84DD2" w:rsidRPr="00AD3D1D">
        <w:rPr>
          <w:color w:val="000000" w:themeColor="text1"/>
        </w:rPr>
        <w:t>сь</w:t>
      </w:r>
      <w:r w:rsidR="00F80708" w:rsidRPr="00AD3D1D">
        <w:rPr>
          <w:color w:val="000000" w:themeColor="text1"/>
        </w:rPr>
        <w:t xml:space="preserve"> фи</w:t>
      </w:r>
      <w:r w:rsidR="00B84DD2" w:rsidRPr="00AD3D1D">
        <w:rPr>
          <w:color w:val="000000" w:themeColor="text1"/>
        </w:rPr>
        <w:t>нансирование</w:t>
      </w:r>
      <w:r w:rsidR="00AD3D1D" w:rsidRPr="00AD3D1D">
        <w:rPr>
          <w:color w:val="000000" w:themeColor="text1"/>
        </w:rPr>
        <w:t xml:space="preserve"> 79</w:t>
      </w:r>
      <w:r w:rsidR="00F80708" w:rsidRPr="00AD3D1D">
        <w:rPr>
          <w:color w:val="000000" w:themeColor="text1"/>
        </w:rPr>
        <w:t xml:space="preserve"> получателей бюджетных средств, на конец отчетного периода</w:t>
      </w:r>
      <w:r w:rsidR="00AD3D1D" w:rsidRPr="00AD3D1D">
        <w:rPr>
          <w:color w:val="000000" w:themeColor="text1"/>
        </w:rPr>
        <w:t xml:space="preserve"> – 78</w:t>
      </w:r>
      <w:r w:rsidRPr="00AD3D1D">
        <w:rPr>
          <w:color w:val="000000" w:themeColor="text1"/>
        </w:rPr>
        <w:t xml:space="preserve"> (</w:t>
      </w:r>
      <w:r w:rsidR="003E0FF3" w:rsidRPr="00AD3D1D">
        <w:rPr>
          <w:color w:val="000000" w:themeColor="text1"/>
        </w:rPr>
        <w:t>ф.0503161</w:t>
      </w:r>
      <w:r w:rsidR="00E44D5D" w:rsidRPr="00AD3D1D">
        <w:rPr>
          <w:color w:val="000000" w:themeColor="text1"/>
        </w:rPr>
        <w:t>)</w:t>
      </w:r>
      <w:r w:rsidR="003E0FF3" w:rsidRPr="00AD3D1D">
        <w:rPr>
          <w:color w:val="000000" w:themeColor="text1"/>
        </w:rPr>
        <w:t xml:space="preserve"> «Сведения о количестве подведомственных учреждений»). </w:t>
      </w:r>
      <w:r w:rsidR="0049632D" w:rsidRPr="00AD3D1D">
        <w:rPr>
          <w:color w:val="000000" w:themeColor="text1"/>
        </w:rPr>
        <w:t>В соответствии с</w:t>
      </w:r>
      <w:r w:rsidR="005B0733" w:rsidRPr="00AD3D1D">
        <w:rPr>
          <w:color w:val="000000" w:themeColor="text1"/>
        </w:rPr>
        <w:t xml:space="preserve"> п.8 ст.59 Устава</w:t>
      </w:r>
      <w:r w:rsidR="0049632D" w:rsidRPr="00AD3D1D">
        <w:rPr>
          <w:color w:val="000000" w:themeColor="text1"/>
        </w:rPr>
        <w:t xml:space="preserve"> МО</w:t>
      </w:r>
      <w:r w:rsidR="0049632D">
        <w:t xml:space="preserve"> «Нижнеилимский район»</w:t>
      </w:r>
      <w:r w:rsidR="005B0733">
        <w:t>, проект решения о бюд</w:t>
      </w:r>
      <w:r w:rsidR="00C437FC">
        <w:t>жете района на 2012</w:t>
      </w:r>
      <w:r w:rsidR="0049632D">
        <w:t xml:space="preserve"> год, решение</w:t>
      </w:r>
      <w:r w:rsidR="005B0733">
        <w:t xml:space="preserve"> об ут</w:t>
      </w:r>
      <w:r w:rsidR="00C437FC">
        <w:t>верждении бюджета района на 2012</w:t>
      </w:r>
      <w:r w:rsidR="005B0733">
        <w:t xml:space="preserve"> год, ежеквартальные сведения о ходе исполнения местного бюджета  публиковались в Вестнике Думы и Администрации Нижнеилимского муниципального района (тираж 999 экз.).</w:t>
      </w:r>
    </w:p>
    <w:p w:rsidR="00F80708" w:rsidRDefault="00F80708" w:rsidP="00947939">
      <w:pPr>
        <w:pStyle w:val="ac"/>
        <w:ind w:left="0"/>
        <w:jc w:val="both"/>
      </w:pPr>
    </w:p>
    <w:p w:rsidR="004C108D" w:rsidRPr="004C108D" w:rsidRDefault="004C108D" w:rsidP="00947939">
      <w:pPr>
        <w:jc w:val="both"/>
        <w:rPr>
          <w:b/>
        </w:rPr>
      </w:pPr>
    </w:p>
    <w:p w:rsidR="004C3B5E" w:rsidRDefault="00192A7D" w:rsidP="00862121">
      <w:pPr>
        <w:pStyle w:val="ac"/>
        <w:ind w:left="0"/>
        <w:jc w:val="center"/>
        <w:rPr>
          <w:b/>
        </w:rPr>
      </w:pPr>
      <w:r>
        <w:rPr>
          <w:b/>
        </w:rPr>
        <w:t xml:space="preserve">Макроэкономические условия исполнения бюджета </w:t>
      </w:r>
      <w:r w:rsidR="00B70713">
        <w:rPr>
          <w:b/>
        </w:rPr>
        <w:t>МО «Нижнеилимский район»  в 2012</w:t>
      </w:r>
      <w:r>
        <w:rPr>
          <w:b/>
        </w:rPr>
        <w:t xml:space="preserve"> году.</w:t>
      </w:r>
    </w:p>
    <w:p w:rsidR="004C108D" w:rsidRDefault="004C108D" w:rsidP="00947939">
      <w:pPr>
        <w:pStyle w:val="ac"/>
        <w:ind w:left="0"/>
        <w:jc w:val="both"/>
        <w:rPr>
          <w:b/>
        </w:rPr>
      </w:pPr>
    </w:p>
    <w:p w:rsidR="0042762B" w:rsidRDefault="004C108D" w:rsidP="00947939">
      <w:pPr>
        <w:pStyle w:val="ac"/>
        <w:tabs>
          <w:tab w:val="left" w:pos="900"/>
        </w:tabs>
        <w:ind w:left="0"/>
        <w:jc w:val="both"/>
      </w:pPr>
      <w:r>
        <w:tab/>
      </w:r>
      <w:r w:rsidR="00DB0BF6">
        <w:t xml:space="preserve">Бюджетная и налоговая политика в Нижнеилимском муниципальном районе в 2012 году осуществлялась в соответствии с </w:t>
      </w:r>
      <w:r w:rsidR="000A68F1">
        <w:t>Прогнозом социально-экономического развития Нижнеилимского муниципального района на 2012 – 2014 годы, принятой постановлением администрации Нижнеилимского муниципального района от 24.08.2011 года № 837.</w:t>
      </w:r>
      <w:r w:rsidR="00177AAB">
        <w:t xml:space="preserve"> При планировании п</w:t>
      </w:r>
      <w:r w:rsidR="000A68F1">
        <w:t>араметров бюджета района на 2012</w:t>
      </w:r>
      <w:r w:rsidR="00177AAB">
        <w:t xml:space="preserve"> год </w:t>
      </w:r>
      <w:r w:rsidR="00182C5D">
        <w:t xml:space="preserve">в основном </w:t>
      </w:r>
      <w:r w:rsidR="00177AAB">
        <w:t>были учтены макроэкономические показатели консервативного варианта развития экономики Нижнеилимского муниципального района.</w:t>
      </w:r>
      <w:r w:rsidR="0042762B">
        <w:t xml:space="preserve"> </w:t>
      </w:r>
    </w:p>
    <w:p w:rsidR="00647EC4" w:rsidRDefault="0042762B" w:rsidP="00947939">
      <w:pPr>
        <w:pStyle w:val="ac"/>
        <w:tabs>
          <w:tab w:val="left" w:pos="900"/>
        </w:tabs>
        <w:ind w:left="0"/>
        <w:jc w:val="both"/>
      </w:pPr>
      <w:r>
        <w:tab/>
        <w:t>На основании показателей социально-экономического развития МО «Нижнеилим</w:t>
      </w:r>
      <w:r w:rsidR="00B02BB3">
        <w:t>ский район» за 2011 и 2012 годы</w:t>
      </w:r>
      <w:r>
        <w:t xml:space="preserve"> </w:t>
      </w:r>
      <w:r w:rsidR="00B02BB3">
        <w:t>р</w:t>
      </w:r>
      <w:r>
        <w:t>ешением</w:t>
      </w:r>
      <w:r w:rsidR="0033304A">
        <w:t xml:space="preserve"> Думы Нижнеилимского муниципального района от 28 марта 2013 года</w:t>
      </w:r>
      <w:r w:rsidR="00B02BB3">
        <w:t xml:space="preserve"> № 308 был утверждён план</w:t>
      </w:r>
      <w:r w:rsidR="0033304A">
        <w:t xml:space="preserve"> социально-экономического развития Нижнеилимского муниципального района на 2013 год</w:t>
      </w:r>
      <w:r w:rsidR="00B02BB3">
        <w:t>.</w:t>
      </w:r>
      <w:r w:rsidR="00E510C7">
        <w:t xml:space="preserve"> </w:t>
      </w:r>
    </w:p>
    <w:p w:rsidR="00734BF8" w:rsidRDefault="0049632D" w:rsidP="00947939">
      <w:pPr>
        <w:pStyle w:val="ac"/>
        <w:tabs>
          <w:tab w:val="left" w:pos="900"/>
        </w:tabs>
        <w:ind w:left="0"/>
        <w:jc w:val="both"/>
      </w:pPr>
      <w:r>
        <w:tab/>
      </w:r>
      <w:r w:rsidR="00BE65CD">
        <w:t>В</w:t>
      </w:r>
      <w:r w:rsidR="00B02BB3">
        <w:t xml:space="preserve"> данном решении Думы отмечается, что в</w:t>
      </w:r>
      <w:r w:rsidR="00BE65CD">
        <w:t xml:space="preserve"> Нижнеилимском</w:t>
      </w:r>
      <w:r w:rsidR="00B02BB3">
        <w:t xml:space="preserve"> муниципальном</w:t>
      </w:r>
      <w:r w:rsidR="00BE65CD">
        <w:t xml:space="preserve"> районе в 2012 году сохранилась положительная динамика показателей со</w:t>
      </w:r>
      <w:r w:rsidR="00B02BB3">
        <w:t>циально-экономического развития, это:</w:t>
      </w:r>
      <w:r w:rsidR="00BE65CD">
        <w:t xml:space="preserve"> </w:t>
      </w:r>
    </w:p>
    <w:p w:rsidR="00B70713" w:rsidRDefault="00734BF8" w:rsidP="00947939">
      <w:pPr>
        <w:pStyle w:val="ac"/>
        <w:tabs>
          <w:tab w:val="left" w:pos="900"/>
        </w:tabs>
        <w:ind w:left="0"/>
        <w:jc w:val="both"/>
      </w:pPr>
      <w:r>
        <w:t xml:space="preserve">- </w:t>
      </w:r>
      <w:r w:rsidR="00BE65CD">
        <w:t>рост доходов ко</w:t>
      </w:r>
      <w:r w:rsidR="00B70713">
        <w:t>нсолидированного бюджета района;</w:t>
      </w:r>
    </w:p>
    <w:p w:rsidR="00734BF8" w:rsidRDefault="00B70713" w:rsidP="00947939">
      <w:pPr>
        <w:pStyle w:val="ac"/>
        <w:tabs>
          <w:tab w:val="left" w:pos="900"/>
        </w:tabs>
        <w:ind w:left="0"/>
        <w:jc w:val="both"/>
      </w:pPr>
      <w:r>
        <w:t xml:space="preserve">- </w:t>
      </w:r>
      <w:r w:rsidR="00BE65CD">
        <w:t>рост оборота розничной торговли с 2 945,00 млн.</w:t>
      </w:r>
      <w:r>
        <w:t xml:space="preserve"> </w:t>
      </w:r>
      <w:r w:rsidR="00BE65CD">
        <w:t>рублей в 201</w:t>
      </w:r>
      <w:r w:rsidR="00734BF8">
        <w:t>1</w:t>
      </w:r>
      <w:r w:rsidR="00BE65CD">
        <w:t xml:space="preserve"> году</w:t>
      </w:r>
      <w:r w:rsidR="00734BF8">
        <w:t>,</w:t>
      </w:r>
      <w:r w:rsidR="00BE65CD">
        <w:t xml:space="preserve"> до 3 293,00 млн.</w:t>
      </w:r>
      <w:r w:rsidR="00B02BB3">
        <w:t xml:space="preserve"> </w:t>
      </w:r>
      <w:r w:rsidR="00BE65CD">
        <w:t>рублей (111,8%) в 2012 году</w:t>
      </w:r>
      <w:r>
        <w:t>;</w:t>
      </w:r>
      <w:r w:rsidR="00734BF8">
        <w:t xml:space="preserve"> </w:t>
      </w:r>
    </w:p>
    <w:p w:rsidR="00734BF8" w:rsidRDefault="00734BF8" w:rsidP="00947939">
      <w:pPr>
        <w:pStyle w:val="ac"/>
        <w:tabs>
          <w:tab w:val="left" w:pos="900"/>
        </w:tabs>
        <w:ind w:left="0"/>
        <w:jc w:val="both"/>
      </w:pPr>
      <w:r>
        <w:t>- увеличение среднемесяч</w:t>
      </w:r>
      <w:r w:rsidR="00B70713">
        <w:t>ной заработной платы работников;</w:t>
      </w:r>
      <w:r>
        <w:t xml:space="preserve"> </w:t>
      </w:r>
    </w:p>
    <w:p w:rsidR="00734BF8" w:rsidRDefault="00734BF8" w:rsidP="00947939">
      <w:pPr>
        <w:pStyle w:val="ac"/>
        <w:tabs>
          <w:tab w:val="left" w:pos="900"/>
        </w:tabs>
        <w:ind w:left="0"/>
        <w:jc w:val="both"/>
      </w:pPr>
      <w:r>
        <w:t>- снижение уровня безработицы.</w:t>
      </w:r>
    </w:p>
    <w:p w:rsidR="00BF17B4" w:rsidRDefault="00B02BB3" w:rsidP="00947939">
      <w:pPr>
        <w:pStyle w:val="ac"/>
        <w:tabs>
          <w:tab w:val="left" w:pos="900"/>
        </w:tabs>
        <w:ind w:left="0"/>
        <w:jc w:val="both"/>
      </w:pPr>
      <w:r>
        <w:tab/>
        <w:t>Вместе с тем, к</w:t>
      </w:r>
      <w:r w:rsidR="00734BF8">
        <w:t xml:space="preserve"> негативным тенденциям социально-экономического развития </w:t>
      </w:r>
      <w:r w:rsidR="009C71BE">
        <w:t xml:space="preserve">в 2012 году </w:t>
      </w:r>
      <w:r w:rsidR="00734BF8">
        <w:t>можно отнести</w:t>
      </w:r>
      <w:r w:rsidR="00F971F7">
        <w:t xml:space="preserve"> </w:t>
      </w:r>
      <w:r w:rsidR="009C71BE">
        <w:t>снижение ввода в действие</w:t>
      </w:r>
      <w:r w:rsidR="00B70713">
        <w:t xml:space="preserve"> жилья и объектов </w:t>
      </w:r>
      <w:r w:rsidR="009C71BE">
        <w:t>соцкультбыта</w:t>
      </w:r>
      <w:r w:rsidR="00B70713">
        <w:t>,</w:t>
      </w:r>
      <w:r w:rsidR="008D19E2">
        <w:t xml:space="preserve"> а также</w:t>
      </w:r>
      <w:r w:rsidR="009C71BE">
        <w:t xml:space="preserve"> снижение числен</w:t>
      </w:r>
      <w:r w:rsidR="008D19E2">
        <w:t>ности постоянного населения</w:t>
      </w:r>
      <w:r w:rsidR="009C71BE">
        <w:t xml:space="preserve">. </w:t>
      </w:r>
      <w:r w:rsidR="008D19E2">
        <w:t>Счетная палата отмечает, что</w:t>
      </w:r>
      <w:r w:rsidR="009C71BE">
        <w:t xml:space="preserve"> в материалах решения Думы Нижнеилимского муниципального района от 28 марта 2013 года № 308</w:t>
      </w:r>
      <w:r w:rsidR="00BF17B4">
        <w:t xml:space="preserve"> «Об утверждении плана социально-экономического развития Нижнеилимского муниципального района на 2013 год</w:t>
      </w:r>
      <w:r w:rsidR="008D19E2">
        <w:t xml:space="preserve"> показатель</w:t>
      </w:r>
      <w:r w:rsidR="009C71BE">
        <w:t xml:space="preserve"> </w:t>
      </w:r>
      <w:r w:rsidR="00BF17B4">
        <w:t xml:space="preserve">численности постоянного населения на начало года не соответствует официальным данным представленных Отделом государственной статистики в г. Усть-Илимске (подразделение город Железногорск-Илимский). </w:t>
      </w:r>
      <w:r w:rsidR="002E3122">
        <w:t>По</w:t>
      </w:r>
      <w:r w:rsidR="00BF17B4">
        <w:t xml:space="preserve"> информации Отдела государственной статистики численность населения Нижнеилимского района на 01.01.2012 года составляла 53 629 человек, на 01.01.2013 года – 52 445 человек.</w:t>
      </w:r>
    </w:p>
    <w:p w:rsidR="00FB1826" w:rsidRDefault="0042762B" w:rsidP="00B14924">
      <w:pPr>
        <w:pStyle w:val="ac"/>
        <w:tabs>
          <w:tab w:val="left" w:pos="900"/>
        </w:tabs>
        <w:ind w:left="0"/>
        <w:jc w:val="both"/>
      </w:pPr>
      <w:r>
        <w:tab/>
      </w:r>
      <w:r w:rsidR="002E3122">
        <w:t xml:space="preserve">Следует </w:t>
      </w:r>
      <w:r w:rsidR="00B02BB3">
        <w:t xml:space="preserve">также </w:t>
      </w:r>
      <w:r w:rsidR="003504F3">
        <w:t>отметить, что</w:t>
      </w:r>
      <w:r w:rsidR="002E3122">
        <w:t xml:space="preserve"> </w:t>
      </w:r>
      <w:r w:rsidR="00FB1826">
        <w:t>основные макроэкономические показатели</w:t>
      </w:r>
      <w:r w:rsidR="002E3122">
        <w:t xml:space="preserve"> социально-экономического развития муниципального образования</w:t>
      </w:r>
      <w:r w:rsidR="00D80C56">
        <w:t xml:space="preserve"> за 2012 год</w:t>
      </w:r>
      <w:r w:rsidR="002E3122">
        <w:t xml:space="preserve">: объём отгруженных товаров собственного </w:t>
      </w:r>
      <w:r w:rsidR="00125111">
        <w:t>производства, инвестиции в основной капитал,</w:t>
      </w:r>
      <w:r w:rsidR="00B02BB3">
        <w:t xml:space="preserve"> представленны</w:t>
      </w:r>
      <w:r w:rsidR="003504F3">
        <w:t>е</w:t>
      </w:r>
      <w:r w:rsidR="00D80C56">
        <w:t xml:space="preserve"> в</w:t>
      </w:r>
      <w:r w:rsidR="00125111">
        <w:t xml:space="preserve"> план</w:t>
      </w:r>
      <w:r w:rsidR="00D80C56">
        <w:t>е</w:t>
      </w:r>
      <w:r w:rsidR="00125111">
        <w:t xml:space="preserve"> социально-экономического развития на 2013 год</w:t>
      </w:r>
      <w:r w:rsidR="006E0586">
        <w:t>,</w:t>
      </w:r>
      <w:r w:rsidR="00B02BB3">
        <w:t xml:space="preserve"> из-за</w:t>
      </w:r>
      <w:r w:rsidR="00B02BB3" w:rsidRPr="00B02BB3">
        <w:t xml:space="preserve"> </w:t>
      </w:r>
      <w:r w:rsidR="006E0586">
        <w:t>некорректности</w:t>
      </w:r>
      <w:r w:rsidR="00CE79D5">
        <w:t xml:space="preserve"> числовых показателей</w:t>
      </w:r>
      <w:r w:rsidR="00B02BB3">
        <w:t xml:space="preserve"> </w:t>
      </w:r>
      <w:r w:rsidR="00125111">
        <w:t xml:space="preserve"> </w:t>
      </w:r>
      <w:r w:rsidR="00D80C56">
        <w:t>не позволили</w:t>
      </w:r>
      <w:r w:rsidR="006E0586">
        <w:t xml:space="preserve"> дать оценку</w:t>
      </w:r>
      <w:r w:rsidR="00D80C56">
        <w:t xml:space="preserve">  р</w:t>
      </w:r>
      <w:r w:rsidR="006E0586">
        <w:t>езультатам</w:t>
      </w:r>
      <w:r>
        <w:t xml:space="preserve"> </w:t>
      </w:r>
      <w:r>
        <w:lastRenderedPageBreak/>
        <w:t>стратегических целей Комплексной программы</w:t>
      </w:r>
      <w:r w:rsidR="006E0586">
        <w:t xml:space="preserve"> развития Нижнеилимского муниципального района</w:t>
      </w:r>
      <w:r>
        <w:t xml:space="preserve"> </w:t>
      </w:r>
      <w:r w:rsidR="006E0586">
        <w:t xml:space="preserve"> за 2012 год</w:t>
      </w:r>
      <w:r w:rsidR="003504F3">
        <w:t>.</w:t>
      </w:r>
    </w:p>
    <w:p w:rsidR="005A4A17" w:rsidRDefault="00FB1826" w:rsidP="00B14924">
      <w:pPr>
        <w:pStyle w:val="ac"/>
        <w:tabs>
          <w:tab w:val="left" w:pos="900"/>
        </w:tabs>
        <w:ind w:left="0"/>
        <w:jc w:val="both"/>
      </w:pPr>
      <w:r>
        <w:t>В целом экономические условия 2012 года благоприятствовали исполнению бюджета района в отчетном году.</w:t>
      </w:r>
    </w:p>
    <w:p w:rsidR="005A4A17" w:rsidRDefault="005A4A17" w:rsidP="00B14924">
      <w:pPr>
        <w:pStyle w:val="ac"/>
        <w:tabs>
          <w:tab w:val="left" w:pos="900"/>
        </w:tabs>
        <w:ind w:left="0"/>
        <w:jc w:val="both"/>
      </w:pPr>
    </w:p>
    <w:p w:rsidR="00192A7D" w:rsidRDefault="005A4A17" w:rsidP="00B14924">
      <w:pPr>
        <w:pStyle w:val="ac"/>
        <w:tabs>
          <w:tab w:val="left" w:pos="900"/>
        </w:tabs>
        <w:ind w:left="0"/>
        <w:jc w:val="both"/>
        <w:rPr>
          <w:b/>
        </w:rPr>
      </w:pPr>
      <w:r w:rsidRPr="005A4A17">
        <w:rPr>
          <w:b/>
        </w:rPr>
        <w:t>Общая характеристика исполнения бюджета МО «Нижнеилимский район за 2012 год</w:t>
      </w:r>
      <w:r w:rsidR="00D80C56" w:rsidRPr="005A4A17">
        <w:rPr>
          <w:b/>
        </w:rPr>
        <w:t xml:space="preserve"> </w:t>
      </w:r>
    </w:p>
    <w:p w:rsidR="005A4A17" w:rsidRDefault="005A4A17" w:rsidP="00B14924">
      <w:pPr>
        <w:pStyle w:val="ac"/>
        <w:tabs>
          <w:tab w:val="left" w:pos="900"/>
        </w:tabs>
        <w:ind w:left="0"/>
        <w:jc w:val="both"/>
        <w:rPr>
          <w:b/>
        </w:rPr>
      </w:pPr>
    </w:p>
    <w:p w:rsidR="0063536C" w:rsidRDefault="006E7805" w:rsidP="0063536C">
      <w:pPr>
        <w:pStyle w:val="ac"/>
        <w:tabs>
          <w:tab w:val="left" w:pos="900"/>
        </w:tabs>
        <w:ind w:left="0"/>
        <w:jc w:val="both"/>
      </w:pPr>
      <w:r>
        <w:tab/>
      </w:r>
      <w:r w:rsidR="005A4A17" w:rsidRPr="005A4A17">
        <w:t>Бюджет</w:t>
      </w:r>
      <w:r w:rsidR="005A4A17">
        <w:t xml:space="preserve"> района на 2012 год был принят</w:t>
      </w:r>
      <w:r>
        <w:t xml:space="preserve"> решением Д</w:t>
      </w:r>
      <w:r w:rsidR="005A4A17">
        <w:t>умы Нижнеилимского муниципального района от 27</w:t>
      </w:r>
      <w:r w:rsidR="000013AF">
        <w:t xml:space="preserve"> </w:t>
      </w:r>
      <w:r w:rsidR="005A4A17">
        <w:t>декабря 2011 года № 164 «Об утверждении бюджета муниципального образования «Нижнеилимский район»</w:t>
      </w:r>
      <w:r w:rsidR="000013AF">
        <w:t xml:space="preserve"> </w:t>
      </w:r>
      <w:r w:rsidR="005A4A17">
        <w:t>на 2012 год»</w:t>
      </w:r>
      <w:r w:rsidR="000013AF">
        <w:t xml:space="preserve"> по доходам в сумме 1 227 294 тыс. рублей, по расходам в сумме 1 239 200 тыс. рублей и плановым дефицитом в сумме 11 906 тыс. рублей. В ходе исполнения бюджета в указанное решение</w:t>
      </w:r>
      <w:r w:rsidR="00873717">
        <w:t xml:space="preserve"> Думы было</w:t>
      </w:r>
      <w:r w:rsidR="000013AF">
        <w:t xml:space="preserve"> внесено 4 изменений и дополнений, в результате чего параметры бюджета изменены в сторону увеличения  по доходам на сумму 356,5 млн. рублей, по расходам на сумму 376,9 млн. рублей, плановый дефицит увеличился</w:t>
      </w:r>
      <w:r w:rsidR="00873717">
        <w:t xml:space="preserve"> на 270% и составил в сумме 32 274 тыс. рублей.</w:t>
      </w:r>
      <w:r w:rsidR="001C4B13">
        <w:t xml:space="preserve"> </w:t>
      </w:r>
      <w:r w:rsidR="0063536C">
        <w:t>Такое количество внесенных изменений связано, в основном, с уточнением ожидаемых поступлений доходов в бюджет района из областного бюджета, перераспределением расходов по предложениям главных распорядителей бюджетных средств.</w:t>
      </w:r>
    </w:p>
    <w:p w:rsidR="00006DB0" w:rsidRDefault="001C4B13" w:rsidP="00B14924">
      <w:pPr>
        <w:pStyle w:val="ac"/>
        <w:tabs>
          <w:tab w:val="left" w:pos="900"/>
        </w:tabs>
        <w:ind w:left="0"/>
        <w:jc w:val="both"/>
      </w:pPr>
      <w:r>
        <w:t>С</w:t>
      </w:r>
      <w:r w:rsidR="00873717">
        <w:t xml:space="preserve"> учетом</w:t>
      </w:r>
      <w:r w:rsidR="00A008B9">
        <w:t xml:space="preserve"> неучтённых в решении</w:t>
      </w:r>
      <w:r>
        <w:t xml:space="preserve"> Думы</w:t>
      </w:r>
      <w:r w:rsidR="00006DB0">
        <w:t xml:space="preserve"> о бюджете снижений</w:t>
      </w:r>
      <w:r w:rsidR="00873717">
        <w:t xml:space="preserve"> безвозмездных перечислений в бюдж</w:t>
      </w:r>
      <w:r w:rsidR="00006DB0">
        <w:t>ет</w:t>
      </w:r>
      <w:r w:rsidR="00873717">
        <w:t xml:space="preserve"> района</w:t>
      </w:r>
      <w:r w:rsidR="00006DB0">
        <w:t xml:space="preserve"> после 25 декабря 2012 года</w:t>
      </w:r>
      <w:r w:rsidR="00873717">
        <w:t>, доходы  и расходы бюджета уменьшились соответственно на 42 225,0 тыс. рублей и на 61 835,0 тыс. рублей</w:t>
      </w:r>
      <w:r w:rsidR="00006DB0">
        <w:t>.</w:t>
      </w:r>
    </w:p>
    <w:p w:rsidR="005A4A17" w:rsidRDefault="00006DB0" w:rsidP="00B14924">
      <w:pPr>
        <w:pStyle w:val="ac"/>
        <w:tabs>
          <w:tab w:val="left" w:pos="900"/>
        </w:tabs>
        <w:ind w:left="0"/>
        <w:jc w:val="both"/>
      </w:pPr>
      <w:r>
        <w:t xml:space="preserve"> Таким образом,</w:t>
      </w:r>
      <w:r w:rsidR="006E7805">
        <w:t xml:space="preserve"> </w:t>
      </w:r>
      <w:r>
        <w:t>окончательные параметры районного бюджета 2012 года составили по доходам в сумме 1 541 446 тыс. рублей, в том числе безвозмездные переч</w:t>
      </w:r>
      <w:r w:rsidR="00020B7F">
        <w:t>и</w:t>
      </w:r>
      <w:r>
        <w:t>сления 1 109 373 тыс. рублей</w:t>
      </w:r>
      <w:r w:rsidR="00020B7F">
        <w:t xml:space="preserve">, по расходам в сумме 1 554 253 тыс. рублей с плановым дефицитом 12 807 тыс. рублей или 3% </w:t>
      </w:r>
      <w:r w:rsidR="00363002">
        <w:t xml:space="preserve">общего годового объёма доходов бюджета без учёта </w:t>
      </w:r>
      <w:r w:rsidR="009467B8">
        <w:t>фактического исполнени</w:t>
      </w:r>
      <w:r w:rsidR="003F31FE">
        <w:t>я по безвозмездным поступлениям, что соответствует ч.3 ст.92.1 БК РФ.</w:t>
      </w:r>
      <w:r w:rsidR="00236169">
        <w:t xml:space="preserve"> Первоначально основным источником финансирования дефицита бюджета было предусмотрено привлечение коммерческого кредита в объёме 11 906 тыс. рублей</w:t>
      </w:r>
      <w:r w:rsidR="00AE68F5">
        <w:t xml:space="preserve">, впоследствии сумма привлечённого кредита от других бюджетов бюджетной системы Российской Федерации составила 11 610 тыс. рублей. Следует отметить, что временно неиспользованный остаток средств на едином счёте бюджета </w:t>
      </w:r>
      <w:r w:rsidR="00CC370B">
        <w:t xml:space="preserve">также </w:t>
      </w:r>
      <w:r w:rsidR="00AE68F5">
        <w:t>явился источником финансирования дефицита бюджета</w:t>
      </w:r>
      <w:r w:rsidR="00236169">
        <w:t xml:space="preserve"> </w:t>
      </w:r>
      <w:r w:rsidR="00AE68F5">
        <w:t>в сумме 2 352 тыс. рублей.</w:t>
      </w:r>
    </w:p>
    <w:p w:rsidR="009467B8" w:rsidRDefault="009467B8" w:rsidP="00B55F92">
      <w:pPr>
        <w:pStyle w:val="ac"/>
        <w:tabs>
          <w:tab w:val="left" w:pos="900"/>
        </w:tabs>
        <w:ind w:left="0"/>
        <w:jc w:val="center"/>
      </w:pPr>
      <w:r>
        <w:t>Исп</w:t>
      </w:r>
      <w:r w:rsidR="00994C52">
        <w:t>о</w:t>
      </w:r>
      <w:r>
        <w:t>лнение бюджета Нижнеилимского муниципального образования за 2012 год характеризуется</w:t>
      </w:r>
      <w:r w:rsidR="00994C52">
        <w:t xml:space="preserve"> следующими показателями:</w:t>
      </w:r>
    </w:p>
    <w:p w:rsidR="00994C52" w:rsidRDefault="00994C52" w:rsidP="00B14924">
      <w:pPr>
        <w:pStyle w:val="ac"/>
        <w:tabs>
          <w:tab w:val="left" w:pos="900"/>
        </w:tabs>
        <w:ind w:left="0"/>
        <w:jc w:val="both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94C52" w:rsidTr="00994C52">
        <w:tc>
          <w:tcPr>
            <w:tcW w:w="2392" w:type="dxa"/>
            <w:vAlign w:val="center"/>
          </w:tcPr>
          <w:p w:rsidR="00994C52" w:rsidRDefault="00994C52" w:rsidP="00994C52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Наименование показателя</w:t>
            </w:r>
          </w:p>
        </w:tc>
        <w:tc>
          <w:tcPr>
            <w:tcW w:w="2393" w:type="dxa"/>
            <w:vAlign w:val="center"/>
          </w:tcPr>
          <w:p w:rsidR="00994C52" w:rsidRDefault="00994C52" w:rsidP="00994C52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Уточнённый план</w:t>
            </w:r>
          </w:p>
        </w:tc>
        <w:tc>
          <w:tcPr>
            <w:tcW w:w="2393" w:type="dxa"/>
            <w:vAlign w:val="center"/>
          </w:tcPr>
          <w:p w:rsidR="00994C52" w:rsidRDefault="00994C52" w:rsidP="00994C52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Исполнение</w:t>
            </w:r>
          </w:p>
        </w:tc>
        <w:tc>
          <w:tcPr>
            <w:tcW w:w="2393" w:type="dxa"/>
          </w:tcPr>
          <w:p w:rsidR="00994C52" w:rsidRDefault="00994C52" w:rsidP="00B14924">
            <w:pPr>
              <w:pStyle w:val="ac"/>
              <w:tabs>
                <w:tab w:val="left" w:pos="900"/>
              </w:tabs>
              <w:ind w:left="0"/>
              <w:jc w:val="both"/>
            </w:pPr>
            <w:r>
              <w:t>Процент исполнения</w:t>
            </w:r>
          </w:p>
        </w:tc>
      </w:tr>
      <w:tr w:rsidR="00994C52" w:rsidTr="00994C52">
        <w:tc>
          <w:tcPr>
            <w:tcW w:w="2392" w:type="dxa"/>
            <w:vAlign w:val="center"/>
          </w:tcPr>
          <w:p w:rsidR="00994C52" w:rsidRDefault="00994C52" w:rsidP="00994C52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Доходы</w:t>
            </w:r>
          </w:p>
        </w:tc>
        <w:tc>
          <w:tcPr>
            <w:tcW w:w="2393" w:type="dxa"/>
            <w:vAlign w:val="center"/>
          </w:tcPr>
          <w:p w:rsidR="00994C52" w:rsidRDefault="00994C52" w:rsidP="00994C52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1 583 814</w:t>
            </w:r>
          </w:p>
        </w:tc>
        <w:tc>
          <w:tcPr>
            <w:tcW w:w="2393" w:type="dxa"/>
            <w:vAlign w:val="center"/>
          </w:tcPr>
          <w:p w:rsidR="00994C52" w:rsidRDefault="00994C52" w:rsidP="00994C52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1 541 446</w:t>
            </w:r>
          </w:p>
        </w:tc>
        <w:tc>
          <w:tcPr>
            <w:tcW w:w="2393" w:type="dxa"/>
            <w:vAlign w:val="center"/>
          </w:tcPr>
          <w:p w:rsidR="00994C52" w:rsidRDefault="00994C52" w:rsidP="00994C52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97,3</w:t>
            </w:r>
          </w:p>
        </w:tc>
      </w:tr>
      <w:tr w:rsidR="00994C52" w:rsidTr="00994C52">
        <w:tc>
          <w:tcPr>
            <w:tcW w:w="2392" w:type="dxa"/>
            <w:vAlign w:val="center"/>
          </w:tcPr>
          <w:p w:rsidR="00994C52" w:rsidRDefault="00994C52" w:rsidP="00994C52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Расходы</w:t>
            </w:r>
          </w:p>
        </w:tc>
        <w:tc>
          <w:tcPr>
            <w:tcW w:w="2393" w:type="dxa"/>
            <w:vAlign w:val="center"/>
          </w:tcPr>
          <w:p w:rsidR="00994C52" w:rsidRDefault="00994C52" w:rsidP="00994C52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1 616 088</w:t>
            </w:r>
          </w:p>
        </w:tc>
        <w:tc>
          <w:tcPr>
            <w:tcW w:w="2393" w:type="dxa"/>
            <w:vAlign w:val="center"/>
          </w:tcPr>
          <w:p w:rsidR="00994C52" w:rsidRDefault="00994C52" w:rsidP="00994C52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1 554 253</w:t>
            </w:r>
          </w:p>
        </w:tc>
        <w:tc>
          <w:tcPr>
            <w:tcW w:w="2393" w:type="dxa"/>
            <w:vAlign w:val="center"/>
          </w:tcPr>
          <w:p w:rsidR="00994C52" w:rsidRDefault="00994C52" w:rsidP="00994C52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96,1</w:t>
            </w:r>
          </w:p>
        </w:tc>
      </w:tr>
      <w:tr w:rsidR="00994C52" w:rsidTr="00994C52">
        <w:tc>
          <w:tcPr>
            <w:tcW w:w="2392" w:type="dxa"/>
            <w:vAlign w:val="center"/>
          </w:tcPr>
          <w:p w:rsidR="00994C52" w:rsidRDefault="00994C52" w:rsidP="00994C52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Дефицит</w:t>
            </w:r>
          </w:p>
        </w:tc>
        <w:tc>
          <w:tcPr>
            <w:tcW w:w="2393" w:type="dxa"/>
            <w:vAlign w:val="center"/>
          </w:tcPr>
          <w:p w:rsidR="00994C52" w:rsidRDefault="00994C52" w:rsidP="00994C52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-32 274</w:t>
            </w:r>
          </w:p>
        </w:tc>
        <w:tc>
          <w:tcPr>
            <w:tcW w:w="2393" w:type="dxa"/>
            <w:vAlign w:val="center"/>
          </w:tcPr>
          <w:p w:rsidR="00994C52" w:rsidRDefault="00994C52" w:rsidP="00994C52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- 12 807</w:t>
            </w:r>
          </w:p>
        </w:tc>
        <w:tc>
          <w:tcPr>
            <w:tcW w:w="2393" w:type="dxa"/>
            <w:vAlign w:val="center"/>
          </w:tcPr>
          <w:p w:rsidR="00994C52" w:rsidRDefault="00994C52" w:rsidP="00994C52">
            <w:pPr>
              <w:pStyle w:val="ac"/>
              <w:tabs>
                <w:tab w:val="left" w:pos="900"/>
              </w:tabs>
              <w:ind w:left="0"/>
              <w:jc w:val="center"/>
            </w:pPr>
          </w:p>
        </w:tc>
      </w:tr>
    </w:tbl>
    <w:p w:rsidR="00994C52" w:rsidRDefault="00994C52" w:rsidP="00B14924">
      <w:pPr>
        <w:pStyle w:val="ac"/>
        <w:tabs>
          <w:tab w:val="left" w:pos="900"/>
        </w:tabs>
        <w:ind w:left="0"/>
        <w:jc w:val="both"/>
      </w:pPr>
    </w:p>
    <w:p w:rsidR="00B55F92" w:rsidRDefault="00B55F92" w:rsidP="00B14924">
      <w:pPr>
        <w:pStyle w:val="ac"/>
        <w:tabs>
          <w:tab w:val="left" w:pos="900"/>
        </w:tabs>
        <w:ind w:left="0"/>
        <w:jc w:val="both"/>
      </w:pPr>
      <w:r>
        <w:t>Уточнён</w:t>
      </w:r>
      <w:r w:rsidR="00D006C3">
        <w:t>н</w:t>
      </w:r>
      <w:r>
        <w:t>ый план сформирован в соответствии со сводной бюджетной росписью.</w:t>
      </w:r>
    </w:p>
    <w:p w:rsidR="000835F4" w:rsidRDefault="006F3972" w:rsidP="00B14924">
      <w:pPr>
        <w:pStyle w:val="ac"/>
        <w:tabs>
          <w:tab w:val="left" w:pos="900"/>
        </w:tabs>
        <w:ind w:left="0"/>
        <w:jc w:val="both"/>
      </w:pPr>
      <w:r>
        <w:t>Объём остатков сре</w:t>
      </w:r>
      <w:r w:rsidR="00D42DBC">
        <w:t>дств на едином счете бюджета по состоянию на 01.01 2013 года составил 3 336 053,51</w:t>
      </w:r>
      <w:r w:rsidR="00CC370B">
        <w:t xml:space="preserve"> </w:t>
      </w:r>
      <w:r w:rsidR="00D42DBC">
        <w:t>рублей, из них безвозмездные поступления от других бюджетов бюджетной системы РФ __.</w:t>
      </w:r>
      <w:r w:rsidR="00CC370B">
        <w:t>, что составило 58,6% остатков средств на начало отчетного периода.</w:t>
      </w:r>
    </w:p>
    <w:p w:rsidR="006F3972" w:rsidRDefault="000835F4" w:rsidP="00B14924">
      <w:pPr>
        <w:pStyle w:val="ac"/>
        <w:tabs>
          <w:tab w:val="left" w:pos="900"/>
        </w:tabs>
        <w:ind w:left="0"/>
        <w:jc w:val="both"/>
      </w:pPr>
      <w:r>
        <w:tab/>
      </w:r>
      <w:r w:rsidR="00854A43">
        <w:t xml:space="preserve"> В соответствии с Распоряжением Министерства Финансов Иркутской области от 28 декабря 2012 года № 422-мр «О сроках предоставления годовой отчетности об исполнении консолидированного бюджета Иркутской области» финансовое Управление администрации Нижнеилимского муниципального района в установленные сроки </w:t>
      </w:r>
      <w:r w:rsidR="00854A43">
        <w:lastRenderedPageBreak/>
        <w:t xml:space="preserve">представила годовую отчетность об исполнении бюджета </w:t>
      </w:r>
      <w:r w:rsidR="001C53FB">
        <w:t>в Минфин Иркутской области за 2012 год.</w:t>
      </w:r>
      <w:r w:rsidR="00CC370B">
        <w:t xml:space="preserve"> </w:t>
      </w:r>
    </w:p>
    <w:p w:rsidR="00D15C0F" w:rsidRDefault="00D15C0F" w:rsidP="000835F4">
      <w:pPr>
        <w:ind w:firstLine="708"/>
        <w:jc w:val="both"/>
      </w:pPr>
      <w:r>
        <w:t>В соотве</w:t>
      </w:r>
      <w:r w:rsidR="00280A8A">
        <w:t>тствии со ст. 59 Устава, и ст.16</w:t>
      </w:r>
      <w:r>
        <w:t xml:space="preserve"> Положения о бюджетном процессе для осуществления непредвиденных расходов  расходной</w:t>
      </w:r>
      <w:r w:rsidR="00280A8A">
        <w:t xml:space="preserve"> части  районного бюджета в 2012</w:t>
      </w:r>
      <w:r>
        <w:t xml:space="preserve"> году было предусмотрено формирование резервного фонда администрации Нижнеилимского муниципального района в размере 500 тыс. рублей, или 0,05% утвержденного общего объема расходов, что не превышает предельный объем, установленный ст.81 Бюджетного кодекса.</w:t>
      </w:r>
    </w:p>
    <w:p w:rsidR="00D15C0F" w:rsidRDefault="00D15C0F" w:rsidP="00D15C0F">
      <w:pPr>
        <w:jc w:val="both"/>
      </w:pPr>
      <w:r>
        <w:t xml:space="preserve">В соответствии с нормами ст. 81 Бюджетного кодекса, </w:t>
      </w:r>
      <w:r w:rsidR="00280A8A">
        <w:t xml:space="preserve">п.5 </w:t>
      </w:r>
      <w:r>
        <w:t>ст. 59 Устава</w:t>
      </w:r>
      <w:r w:rsidR="00280A8A">
        <w:t xml:space="preserve"> МО «Нижнеилимский район», «Положение</w:t>
      </w:r>
      <w:r>
        <w:t xml:space="preserve"> о порядке расходования средств резервного фонда администрации Нижнеилимского муниципального района» утверждено постановлением мэра района от 26.02.2008 № 63.</w:t>
      </w:r>
    </w:p>
    <w:p w:rsidR="00D15C0F" w:rsidRDefault="00D15C0F" w:rsidP="00D15C0F">
      <w:pPr>
        <w:jc w:val="both"/>
      </w:pPr>
      <w:r>
        <w:tab/>
        <w:t>Согласно Положению, средства резервного фонда направляются на финансовое обеспечение непредвиденных расходов, в</w:t>
      </w:r>
      <w:r w:rsidR="00280A8A">
        <w:t xml:space="preserve"> том числе на проведение аварий</w:t>
      </w:r>
      <w:r w:rsidR="00982C33">
        <w:t>н</w:t>
      </w:r>
      <w:r>
        <w:t>о-вос</w:t>
      </w:r>
      <w:r w:rsidR="00280A8A">
        <w:t>с</w:t>
      </w:r>
      <w:r>
        <w:t>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D15C0F" w:rsidRDefault="00D15C0F" w:rsidP="00D15C0F">
      <w:pPr>
        <w:jc w:val="both"/>
      </w:pPr>
      <w:r>
        <w:tab/>
        <w:t>В проекте решения «Об утверждении отчета об исполнении бюджета МО «Нижнеилимский район» за 2012 год не нашел отражения  отчет использования бюджетных ассигнований резервного фонда.</w:t>
      </w:r>
    </w:p>
    <w:p w:rsidR="00D15C0F" w:rsidRDefault="00D15C0F" w:rsidP="00D15C0F">
      <w:pPr>
        <w:jc w:val="both"/>
      </w:pPr>
      <w:r>
        <w:tab/>
        <w:t>Согласно отчету об исполнении бюджета МО «Нижнеилимский район» Приложение №</w:t>
      </w:r>
      <w:r w:rsidR="0063536C">
        <w:t xml:space="preserve"> </w:t>
      </w:r>
      <w:r>
        <w:t>5</w:t>
      </w:r>
      <w:r w:rsidR="0063536C">
        <w:t xml:space="preserve"> к решению Думы</w:t>
      </w:r>
      <w:r>
        <w:t xml:space="preserve"> средства из Резервного фонда в 2012 году не выделялись.</w:t>
      </w:r>
    </w:p>
    <w:p w:rsidR="0063536C" w:rsidRDefault="0063536C" w:rsidP="0063536C">
      <w:pPr>
        <w:pStyle w:val="ac"/>
        <w:tabs>
          <w:tab w:val="left" w:pos="900"/>
        </w:tabs>
        <w:ind w:left="0"/>
        <w:jc w:val="both"/>
      </w:pPr>
      <w:r>
        <w:tab/>
        <w:t xml:space="preserve">Предельный объем муниципального долга на 2011 год установлен в размере 272 098 тыс. рублей, что соответствует п.3 ст. 107 БК РФ.  Решением Думы от 30.12.2010г. №38  верхний предел муниципального долга по состоянию на 01 января 2012 года был установлен в размере 0 тыс. рублей, в том числе предельный объем обязательств по муниципальным гарантиям 0 тыс. рублей. В текстом материале пояснительной записке сказано, что </w:t>
      </w:r>
      <w:r>
        <w:rPr>
          <w:b/>
        </w:rPr>
        <w:t>ф</w:t>
      </w:r>
      <w:r w:rsidRPr="00534B3F">
        <w:rPr>
          <w:b/>
        </w:rPr>
        <w:t xml:space="preserve">актический размер </w:t>
      </w:r>
      <w:r>
        <w:rPr>
          <w:b/>
        </w:rPr>
        <w:t xml:space="preserve">сложившегося </w:t>
      </w:r>
      <w:r w:rsidRPr="00534B3F">
        <w:rPr>
          <w:b/>
        </w:rPr>
        <w:t>муниципального долга Нижнеилимского муниципального района по состоянию на 01 января 2012 года составил 115 453 тыс. руб. Муниципальные гарантии в 2010 году не представлялись.</w:t>
      </w:r>
      <w:r>
        <w:t xml:space="preserve"> Согласно представленной информации по форме ОКУД  (ф.050317) к пояснительной записке отчета исполнения бюджета, муниципальный долг на 01.01.2012г.  сложился из суммы 112 159 911,12 рублей остатков задолженности 2010 года и бюджетного кредита 2011 года в размере 3 293 тыс. рублей (на погашение кредиторской задолженности за 2009-2010 годы перед работниками учреждений образования, здравоохранения района по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местностям, и членов их семей).</w:t>
      </w:r>
    </w:p>
    <w:p w:rsidR="0063536C" w:rsidRDefault="0063536C" w:rsidP="0063536C">
      <w:pPr>
        <w:pStyle w:val="ac"/>
        <w:tabs>
          <w:tab w:val="left" w:pos="900"/>
        </w:tabs>
        <w:ind w:left="0"/>
        <w:jc w:val="both"/>
      </w:pPr>
      <w:r>
        <w:tab/>
        <w:t>При анализе структуры муниципального долга по состоянию на 01.01.2012 г. установлено ее соответствие требованиям статьи 100 Бюджетного кодекса РФ. Однако, следует отметить, что зависимость района от кредитных обязательств увеличилась  на 3%.</w:t>
      </w:r>
    </w:p>
    <w:p w:rsidR="0063536C" w:rsidRPr="00534B3F" w:rsidRDefault="0063536C" w:rsidP="0063536C">
      <w:pPr>
        <w:pStyle w:val="ac"/>
        <w:tabs>
          <w:tab w:val="left" w:pos="900"/>
        </w:tabs>
        <w:ind w:left="0"/>
        <w:jc w:val="both"/>
      </w:pPr>
      <w:r>
        <w:tab/>
        <w:t xml:space="preserve">Предельный объем расходов на </w:t>
      </w:r>
      <w:r w:rsidRPr="00C33E40">
        <w:rPr>
          <w:i/>
        </w:rPr>
        <w:t>обслуживание муниципального долга</w:t>
      </w:r>
      <w:r>
        <w:t xml:space="preserve"> на 2011 год установлен в сумме 300 тыс. рублей,  т.е. 0,10% от объема расходов бюджета, за исключением объема расходов, осуществляемых за счет субвенций, что не превышает предел 15%, установленный ст.111 БК РФ. Исполнение бюджета по данному виду расходов в 2011 году не осуществлялось, в связи с этим нарушено бюджетное законодательство, предусмотренное п.3 ст.112 БК РФ, в которой прописаны исключения при принятии новых долговых обязательств.</w:t>
      </w:r>
    </w:p>
    <w:p w:rsidR="00D15C0F" w:rsidRDefault="00D15C0F" w:rsidP="00D15C0F">
      <w:pPr>
        <w:jc w:val="both"/>
      </w:pPr>
    </w:p>
    <w:p w:rsidR="009842C5" w:rsidRDefault="00704956" w:rsidP="00B14924">
      <w:pPr>
        <w:pStyle w:val="ac"/>
        <w:tabs>
          <w:tab w:val="left" w:pos="900"/>
        </w:tabs>
        <w:ind w:left="0"/>
        <w:jc w:val="both"/>
      </w:pPr>
      <w:r>
        <w:tab/>
      </w:r>
    </w:p>
    <w:p w:rsidR="00704956" w:rsidRDefault="001C53FB" w:rsidP="00704956">
      <w:pPr>
        <w:pStyle w:val="ac"/>
        <w:tabs>
          <w:tab w:val="left" w:pos="900"/>
        </w:tabs>
        <w:ind w:left="0"/>
        <w:jc w:val="center"/>
        <w:rPr>
          <w:b/>
        </w:rPr>
      </w:pPr>
      <w:r>
        <w:rPr>
          <w:b/>
        </w:rPr>
        <w:t xml:space="preserve">Исполнение доходной части </w:t>
      </w:r>
      <w:r w:rsidR="00704956" w:rsidRPr="00704956">
        <w:rPr>
          <w:b/>
        </w:rPr>
        <w:t xml:space="preserve"> бюджета </w:t>
      </w:r>
      <w:r>
        <w:rPr>
          <w:b/>
        </w:rPr>
        <w:t>за 2012</w:t>
      </w:r>
      <w:r w:rsidR="00704956" w:rsidRPr="00704956">
        <w:rPr>
          <w:b/>
        </w:rPr>
        <w:t xml:space="preserve"> год</w:t>
      </w:r>
    </w:p>
    <w:p w:rsidR="001C53FB" w:rsidRDefault="001C53FB" w:rsidP="00704956">
      <w:pPr>
        <w:pStyle w:val="ac"/>
        <w:tabs>
          <w:tab w:val="left" w:pos="900"/>
        </w:tabs>
        <w:ind w:left="0"/>
        <w:jc w:val="center"/>
        <w:rPr>
          <w:b/>
        </w:rPr>
      </w:pPr>
    </w:p>
    <w:p w:rsidR="001C53FB" w:rsidRPr="001C53FB" w:rsidRDefault="001C53FB" w:rsidP="001C53FB">
      <w:pPr>
        <w:pStyle w:val="ac"/>
        <w:tabs>
          <w:tab w:val="left" w:pos="900"/>
        </w:tabs>
        <w:ind w:left="0"/>
        <w:jc w:val="both"/>
      </w:pPr>
      <w:r w:rsidRPr="001C53FB">
        <w:t xml:space="preserve">Исполнение бюджета по доходам </w:t>
      </w:r>
      <w:r>
        <w:t>за 2012 год характеризуется следующими  основными показателями:</w:t>
      </w:r>
    </w:p>
    <w:p w:rsidR="00636AEB" w:rsidRDefault="00B777D5" w:rsidP="00B777D5">
      <w:pPr>
        <w:pStyle w:val="ac"/>
        <w:tabs>
          <w:tab w:val="left" w:pos="900"/>
        </w:tabs>
        <w:ind w:left="0"/>
        <w:jc w:val="right"/>
      </w:pPr>
      <w:r>
        <w:t>тыс. рублей</w:t>
      </w:r>
    </w:p>
    <w:tbl>
      <w:tblPr>
        <w:tblStyle w:val="a3"/>
        <w:tblW w:w="0" w:type="auto"/>
        <w:tblLook w:val="04A0"/>
      </w:tblPr>
      <w:tblGrid>
        <w:gridCol w:w="1755"/>
        <w:gridCol w:w="1463"/>
        <w:gridCol w:w="1514"/>
        <w:gridCol w:w="1463"/>
        <w:gridCol w:w="1349"/>
        <w:gridCol w:w="1029"/>
        <w:gridCol w:w="998"/>
      </w:tblGrid>
      <w:tr w:rsidR="00B777D5" w:rsidTr="00704C94">
        <w:tc>
          <w:tcPr>
            <w:tcW w:w="1326" w:type="dxa"/>
            <w:vMerge w:val="restart"/>
            <w:vAlign w:val="center"/>
          </w:tcPr>
          <w:p w:rsidR="00B777D5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Виды доходов</w:t>
            </w:r>
          </w:p>
        </w:tc>
        <w:tc>
          <w:tcPr>
            <w:tcW w:w="1463" w:type="dxa"/>
            <w:vMerge w:val="restart"/>
            <w:vAlign w:val="center"/>
          </w:tcPr>
          <w:p w:rsidR="00B777D5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Исполнение 2011 год</w:t>
            </w:r>
          </w:p>
        </w:tc>
        <w:tc>
          <w:tcPr>
            <w:tcW w:w="2977" w:type="dxa"/>
            <w:gridSpan w:val="2"/>
            <w:vAlign w:val="center"/>
          </w:tcPr>
          <w:p w:rsidR="00B777D5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2012 год</w:t>
            </w:r>
          </w:p>
        </w:tc>
        <w:tc>
          <w:tcPr>
            <w:tcW w:w="1349" w:type="dxa"/>
            <w:vMerge w:val="restart"/>
            <w:vAlign w:val="center"/>
          </w:tcPr>
          <w:p w:rsidR="00B777D5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Структура, процентов</w:t>
            </w:r>
          </w:p>
        </w:tc>
        <w:tc>
          <w:tcPr>
            <w:tcW w:w="2456" w:type="dxa"/>
            <w:gridSpan w:val="2"/>
            <w:vAlign w:val="center"/>
          </w:tcPr>
          <w:p w:rsidR="00B777D5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Процент исполнения</w:t>
            </w:r>
          </w:p>
        </w:tc>
      </w:tr>
      <w:tr w:rsidR="00B777D5" w:rsidTr="00704C94">
        <w:tc>
          <w:tcPr>
            <w:tcW w:w="1326" w:type="dxa"/>
            <w:vMerge/>
            <w:vAlign w:val="center"/>
          </w:tcPr>
          <w:p w:rsidR="00B777D5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</w:p>
        </w:tc>
        <w:tc>
          <w:tcPr>
            <w:tcW w:w="1463" w:type="dxa"/>
            <w:vMerge/>
            <w:vAlign w:val="center"/>
          </w:tcPr>
          <w:p w:rsidR="00B777D5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</w:p>
        </w:tc>
        <w:tc>
          <w:tcPr>
            <w:tcW w:w="1514" w:type="dxa"/>
            <w:vAlign w:val="center"/>
          </w:tcPr>
          <w:p w:rsidR="00B777D5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Уточнённый план</w:t>
            </w:r>
          </w:p>
        </w:tc>
        <w:tc>
          <w:tcPr>
            <w:tcW w:w="1463" w:type="dxa"/>
            <w:vAlign w:val="center"/>
          </w:tcPr>
          <w:p w:rsidR="00B777D5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Исполнение</w:t>
            </w:r>
          </w:p>
        </w:tc>
        <w:tc>
          <w:tcPr>
            <w:tcW w:w="1349" w:type="dxa"/>
            <w:vMerge/>
            <w:vAlign w:val="center"/>
          </w:tcPr>
          <w:p w:rsidR="00B777D5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</w:p>
        </w:tc>
        <w:tc>
          <w:tcPr>
            <w:tcW w:w="1228" w:type="dxa"/>
            <w:vAlign w:val="center"/>
          </w:tcPr>
          <w:p w:rsidR="00B777D5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к плану</w:t>
            </w:r>
          </w:p>
        </w:tc>
        <w:tc>
          <w:tcPr>
            <w:tcW w:w="1228" w:type="dxa"/>
            <w:vAlign w:val="center"/>
          </w:tcPr>
          <w:p w:rsidR="00B777D5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к 2011 г.</w:t>
            </w:r>
          </w:p>
        </w:tc>
      </w:tr>
      <w:tr w:rsidR="00B777D5" w:rsidTr="00704C94">
        <w:tc>
          <w:tcPr>
            <w:tcW w:w="1326" w:type="dxa"/>
            <w:vAlign w:val="center"/>
          </w:tcPr>
          <w:p w:rsidR="001C53FB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Налоговые и неналоговые доходы</w:t>
            </w:r>
          </w:p>
        </w:tc>
        <w:tc>
          <w:tcPr>
            <w:tcW w:w="1463" w:type="dxa"/>
            <w:vAlign w:val="center"/>
          </w:tcPr>
          <w:p w:rsidR="001C53FB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320 979</w:t>
            </w:r>
          </w:p>
        </w:tc>
        <w:tc>
          <w:tcPr>
            <w:tcW w:w="1514" w:type="dxa"/>
            <w:vAlign w:val="center"/>
          </w:tcPr>
          <w:p w:rsidR="001C53FB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432 216</w:t>
            </w:r>
          </w:p>
        </w:tc>
        <w:tc>
          <w:tcPr>
            <w:tcW w:w="1463" w:type="dxa"/>
            <w:vAlign w:val="center"/>
          </w:tcPr>
          <w:p w:rsidR="001C53FB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432 073</w:t>
            </w:r>
          </w:p>
        </w:tc>
        <w:tc>
          <w:tcPr>
            <w:tcW w:w="1349" w:type="dxa"/>
            <w:vAlign w:val="center"/>
          </w:tcPr>
          <w:p w:rsidR="001C53FB" w:rsidRDefault="00704C94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28,0</w:t>
            </w:r>
          </w:p>
        </w:tc>
        <w:tc>
          <w:tcPr>
            <w:tcW w:w="1228" w:type="dxa"/>
            <w:vAlign w:val="center"/>
          </w:tcPr>
          <w:p w:rsidR="001C53FB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100</w:t>
            </w:r>
            <w:r w:rsidR="00704C94">
              <w:t>,0</w:t>
            </w:r>
          </w:p>
        </w:tc>
        <w:tc>
          <w:tcPr>
            <w:tcW w:w="1228" w:type="dxa"/>
            <w:vAlign w:val="center"/>
          </w:tcPr>
          <w:p w:rsidR="001C53FB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134,6</w:t>
            </w:r>
          </w:p>
        </w:tc>
      </w:tr>
      <w:tr w:rsidR="00B777D5" w:rsidTr="00704C94">
        <w:tc>
          <w:tcPr>
            <w:tcW w:w="1326" w:type="dxa"/>
            <w:vAlign w:val="center"/>
          </w:tcPr>
          <w:p w:rsidR="001C53FB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Безвозмездные поступления</w:t>
            </w:r>
          </w:p>
        </w:tc>
        <w:tc>
          <w:tcPr>
            <w:tcW w:w="1463" w:type="dxa"/>
            <w:vAlign w:val="center"/>
          </w:tcPr>
          <w:p w:rsidR="001C53FB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908 760</w:t>
            </w:r>
          </w:p>
        </w:tc>
        <w:tc>
          <w:tcPr>
            <w:tcW w:w="1514" w:type="dxa"/>
            <w:vAlign w:val="center"/>
          </w:tcPr>
          <w:p w:rsidR="001C53FB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1 151 598</w:t>
            </w:r>
          </w:p>
        </w:tc>
        <w:tc>
          <w:tcPr>
            <w:tcW w:w="1463" w:type="dxa"/>
            <w:vAlign w:val="center"/>
          </w:tcPr>
          <w:p w:rsidR="001C53FB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1 109 373</w:t>
            </w:r>
          </w:p>
        </w:tc>
        <w:tc>
          <w:tcPr>
            <w:tcW w:w="1349" w:type="dxa"/>
            <w:vAlign w:val="center"/>
          </w:tcPr>
          <w:p w:rsidR="001C53FB" w:rsidRDefault="00704C94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72,0</w:t>
            </w:r>
          </w:p>
        </w:tc>
        <w:tc>
          <w:tcPr>
            <w:tcW w:w="1228" w:type="dxa"/>
            <w:vAlign w:val="center"/>
          </w:tcPr>
          <w:p w:rsidR="001C53FB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96</w:t>
            </w:r>
            <w:r w:rsidR="00704C94">
              <w:t>,0</w:t>
            </w:r>
          </w:p>
        </w:tc>
        <w:tc>
          <w:tcPr>
            <w:tcW w:w="1228" w:type="dxa"/>
            <w:vAlign w:val="center"/>
          </w:tcPr>
          <w:p w:rsidR="001C53FB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122</w:t>
            </w:r>
            <w:r w:rsidR="00704C94">
              <w:t>,0</w:t>
            </w:r>
          </w:p>
        </w:tc>
      </w:tr>
      <w:tr w:rsidR="00B777D5" w:rsidTr="00704C94">
        <w:tc>
          <w:tcPr>
            <w:tcW w:w="1326" w:type="dxa"/>
            <w:vAlign w:val="center"/>
          </w:tcPr>
          <w:p w:rsidR="00B777D5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Всего доходов</w:t>
            </w:r>
          </w:p>
        </w:tc>
        <w:tc>
          <w:tcPr>
            <w:tcW w:w="1463" w:type="dxa"/>
            <w:vAlign w:val="center"/>
          </w:tcPr>
          <w:p w:rsidR="00B777D5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1</w:t>
            </w:r>
            <w:r w:rsidR="00704C94">
              <w:t> </w:t>
            </w:r>
            <w:r>
              <w:t>229</w:t>
            </w:r>
            <w:r w:rsidR="00704C94">
              <w:t xml:space="preserve"> 739</w:t>
            </w:r>
          </w:p>
        </w:tc>
        <w:tc>
          <w:tcPr>
            <w:tcW w:w="1514" w:type="dxa"/>
            <w:vAlign w:val="center"/>
          </w:tcPr>
          <w:p w:rsidR="00B777D5" w:rsidRDefault="00B777D5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1 583 814</w:t>
            </w:r>
          </w:p>
        </w:tc>
        <w:tc>
          <w:tcPr>
            <w:tcW w:w="1463" w:type="dxa"/>
            <w:vAlign w:val="center"/>
          </w:tcPr>
          <w:p w:rsidR="00B777D5" w:rsidRDefault="00704C94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1 541 446</w:t>
            </w:r>
          </w:p>
        </w:tc>
        <w:tc>
          <w:tcPr>
            <w:tcW w:w="1349" w:type="dxa"/>
            <w:vAlign w:val="center"/>
          </w:tcPr>
          <w:p w:rsidR="00B777D5" w:rsidRDefault="00704C94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100,0</w:t>
            </w:r>
          </w:p>
        </w:tc>
        <w:tc>
          <w:tcPr>
            <w:tcW w:w="1228" w:type="dxa"/>
            <w:vAlign w:val="center"/>
          </w:tcPr>
          <w:p w:rsidR="00B777D5" w:rsidRDefault="00704C94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97,0</w:t>
            </w:r>
          </w:p>
        </w:tc>
        <w:tc>
          <w:tcPr>
            <w:tcW w:w="1228" w:type="dxa"/>
            <w:vAlign w:val="center"/>
          </w:tcPr>
          <w:p w:rsidR="00B777D5" w:rsidRDefault="00704C94" w:rsidP="00704C94">
            <w:pPr>
              <w:pStyle w:val="ac"/>
              <w:tabs>
                <w:tab w:val="left" w:pos="900"/>
              </w:tabs>
              <w:ind w:left="0"/>
              <w:jc w:val="center"/>
            </w:pPr>
            <w:r>
              <w:t>125,3</w:t>
            </w:r>
          </w:p>
        </w:tc>
      </w:tr>
    </w:tbl>
    <w:p w:rsidR="001C53FB" w:rsidRPr="00192A7D" w:rsidRDefault="001C53FB" w:rsidP="004C108D">
      <w:pPr>
        <w:pStyle w:val="ac"/>
        <w:tabs>
          <w:tab w:val="left" w:pos="900"/>
        </w:tabs>
        <w:ind w:left="0"/>
        <w:jc w:val="both"/>
      </w:pPr>
    </w:p>
    <w:p w:rsidR="00704C94" w:rsidRDefault="00C73B5A" w:rsidP="00704C94">
      <w:pPr>
        <w:pStyle w:val="ac"/>
        <w:tabs>
          <w:tab w:val="left" w:pos="900"/>
        </w:tabs>
        <w:ind w:left="0"/>
        <w:jc w:val="both"/>
      </w:pPr>
      <w:r>
        <w:tab/>
      </w:r>
    </w:p>
    <w:p w:rsidR="00A460B2" w:rsidRDefault="00704C94" w:rsidP="004C108D">
      <w:pPr>
        <w:pStyle w:val="ac"/>
        <w:tabs>
          <w:tab w:val="left" w:pos="900"/>
        </w:tabs>
        <w:ind w:left="0"/>
        <w:jc w:val="both"/>
      </w:pPr>
      <w:r>
        <w:t>По состоянию на 1.</w:t>
      </w:r>
      <w:r w:rsidR="00B65FD5">
        <w:t>01</w:t>
      </w:r>
      <w:r>
        <w:t xml:space="preserve">.2013 года </w:t>
      </w:r>
      <w:r w:rsidR="00B65FD5">
        <w:t xml:space="preserve">Министерство финансов Иркутской области подвело итоги </w:t>
      </w:r>
      <w:r>
        <w:t>анализ</w:t>
      </w:r>
      <w:r w:rsidR="00B65FD5">
        <w:t>а</w:t>
      </w:r>
      <w:r>
        <w:t xml:space="preserve"> исполнения доходной части </w:t>
      </w:r>
      <w:r w:rsidR="00B65FD5">
        <w:t xml:space="preserve">и выявлении точек роста доходов </w:t>
      </w:r>
      <w:r>
        <w:t>местных бюджетов</w:t>
      </w:r>
      <w:r w:rsidR="004575FA">
        <w:t xml:space="preserve"> по «Системе светофоров», в частности</w:t>
      </w:r>
      <w:r w:rsidR="00B65FD5">
        <w:t xml:space="preserve"> по Нижнеилимскому району</w:t>
      </w:r>
      <w:r w:rsidR="004575FA">
        <w:t xml:space="preserve"> отмечены следующие результаты:</w:t>
      </w:r>
      <w:r w:rsidR="00B65FD5">
        <w:t xml:space="preserve"> </w:t>
      </w:r>
    </w:p>
    <w:p w:rsidR="00B65FD5" w:rsidRDefault="00B65FD5" w:rsidP="004C108D">
      <w:pPr>
        <w:pStyle w:val="ac"/>
        <w:tabs>
          <w:tab w:val="left" w:pos="900"/>
        </w:tabs>
        <w:ind w:left="0"/>
        <w:jc w:val="both"/>
      </w:pPr>
      <w:r>
        <w:t>- по качеству работы над повышением доходной части МО присвоен зелёный цвет обеспечивший рост</w:t>
      </w:r>
      <w:r w:rsidR="004575FA">
        <w:t xml:space="preserve"> доходов;</w:t>
      </w:r>
    </w:p>
    <w:p w:rsidR="004575FA" w:rsidRDefault="004575FA" w:rsidP="004C108D">
      <w:pPr>
        <w:pStyle w:val="ac"/>
        <w:tabs>
          <w:tab w:val="left" w:pos="900"/>
        </w:tabs>
        <w:ind w:left="0"/>
        <w:jc w:val="both"/>
      </w:pPr>
      <w:r>
        <w:t>- за эффективность реализации налоговой политики в отношении ЕНВД району присвоен желтый свет, что означает отклонение процентов в меньшую сторону корректирующего коэффициента К1, рост которого в 2012 году составил 108,9%;</w:t>
      </w:r>
    </w:p>
    <w:p w:rsidR="00885955" w:rsidRDefault="004575FA" w:rsidP="004C108D">
      <w:pPr>
        <w:pStyle w:val="ac"/>
        <w:tabs>
          <w:tab w:val="left" w:pos="900"/>
        </w:tabs>
        <w:ind w:left="0"/>
        <w:jc w:val="both"/>
      </w:pPr>
      <w:r>
        <w:t xml:space="preserve">- </w:t>
      </w:r>
      <w:r w:rsidR="00885955">
        <w:t>по показателю,</w:t>
      </w:r>
      <w:r>
        <w:t xml:space="preserve"> полнота использования потенциала доходов</w:t>
      </w:r>
      <w:r w:rsidR="00885955">
        <w:t xml:space="preserve"> от земли, по которому оцениваются поступления земельного налога и арендной платы за землю, району</w:t>
      </w:r>
      <w:r>
        <w:t xml:space="preserve"> присвоен красный цвет</w:t>
      </w:r>
      <w:r w:rsidR="00885955">
        <w:t>, обеспечившим менее 80% от планируемых муниципальным образованием в 2012 году;</w:t>
      </w:r>
    </w:p>
    <w:p w:rsidR="004E3EEE" w:rsidRDefault="00885955" w:rsidP="004C108D">
      <w:pPr>
        <w:pStyle w:val="ac"/>
        <w:tabs>
          <w:tab w:val="left" w:pos="900"/>
        </w:tabs>
        <w:ind w:left="0"/>
        <w:jc w:val="both"/>
      </w:pPr>
      <w:r>
        <w:t>- точность планирования налоговых и неналоговых доходов</w:t>
      </w:r>
      <w:r w:rsidR="004E3EEE">
        <w:t xml:space="preserve"> району</w:t>
      </w:r>
      <w:r>
        <w:t xml:space="preserve"> присвоен </w:t>
      </w:r>
      <w:r w:rsidR="004E3EEE">
        <w:t>желтый цвет, определяющий отклонение факта по налоговым и неналоговым доходам от 5% до 10%;</w:t>
      </w:r>
    </w:p>
    <w:p w:rsidR="004575FA" w:rsidRDefault="004E3EEE" w:rsidP="004C108D">
      <w:pPr>
        <w:pStyle w:val="ac"/>
        <w:tabs>
          <w:tab w:val="left" w:pos="900"/>
        </w:tabs>
        <w:ind w:left="0"/>
        <w:jc w:val="both"/>
      </w:pPr>
      <w:r>
        <w:t>- точность планирования ФОТ – источника основной части НДФЛ. Превышение динамики поступлений НДФЛ (на 01.01.2013г.) планируемого в 2012 году прироста ФОТ оценивался зелёным цветом; не достижение, утверждённых Программой социально-экономического развития</w:t>
      </w:r>
      <w:r w:rsidR="004575FA">
        <w:t xml:space="preserve"> </w:t>
      </w:r>
      <w:r>
        <w:t>(ПСЭР) МО, значений прироста ФОТ - оценивался красным.</w:t>
      </w:r>
      <w:r w:rsidR="004575FA">
        <w:t xml:space="preserve"> </w:t>
      </w:r>
      <w:r w:rsidR="00DB1500">
        <w:t>Району выставлен красный цвет.</w:t>
      </w:r>
    </w:p>
    <w:p w:rsidR="006A10F8" w:rsidRDefault="00DB1500" w:rsidP="004C108D">
      <w:pPr>
        <w:pStyle w:val="ac"/>
        <w:tabs>
          <w:tab w:val="left" w:pos="900"/>
        </w:tabs>
        <w:ind w:left="0"/>
        <w:jc w:val="both"/>
      </w:pPr>
      <w:r>
        <w:t xml:space="preserve">Вместе с тем Контрольно-счетная палата отмечает, что фактическое </w:t>
      </w:r>
      <w:r w:rsidR="00D5157C">
        <w:t>поступление</w:t>
      </w:r>
      <w:r>
        <w:t xml:space="preserve"> налоговых и нен</w:t>
      </w:r>
      <w:r w:rsidR="00CA0815">
        <w:t>алоговых доходов</w:t>
      </w:r>
      <w:r w:rsidR="00376558">
        <w:t xml:space="preserve"> в 2012 году</w:t>
      </w:r>
      <w:r w:rsidR="00D5157C">
        <w:t>,</w:t>
      </w:r>
      <w:r w:rsidR="00CA0815">
        <w:t xml:space="preserve"> администрируемых </w:t>
      </w:r>
      <w:r w:rsidR="00D5157C">
        <w:t xml:space="preserve">федеральной налоговой службой и администрацией Нижнеилимского муниципального района </w:t>
      </w:r>
      <w:r w:rsidR="00376558">
        <w:t>составило 100% от уточнённого годового плана.</w:t>
      </w:r>
    </w:p>
    <w:p w:rsidR="00280A8A" w:rsidRDefault="00280A8A" w:rsidP="004C108D">
      <w:pPr>
        <w:pStyle w:val="ac"/>
        <w:tabs>
          <w:tab w:val="left" w:pos="900"/>
        </w:tabs>
        <w:ind w:left="0"/>
        <w:jc w:val="both"/>
      </w:pPr>
    </w:p>
    <w:p w:rsidR="00280A8A" w:rsidRDefault="00280A8A" w:rsidP="004C108D">
      <w:pPr>
        <w:pStyle w:val="ac"/>
        <w:tabs>
          <w:tab w:val="left" w:pos="900"/>
        </w:tabs>
        <w:ind w:left="0"/>
        <w:jc w:val="both"/>
      </w:pPr>
    </w:p>
    <w:p w:rsidR="00280A8A" w:rsidRDefault="00280A8A" w:rsidP="004C108D">
      <w:pPr>
        <w:pStyle w:val="ac"/>
        <w:tabs>
          <w:tab w:val="left" w:pos="900"/>
        </w:tabs>
        <w:ind w:left="0"/>
        <w:jc w:val="both"/>
      </w:pPr>
    </w:p>
    <w:p w:rsidR="00280A8A" w:rsidRDefault="00280A8A" w:rsidP="004C108D">
      <w:pPr>
        <w:pStyle w:val="ac"/>
        <w:tabs>
          <w:tab w:val="left" w:pos="900"/>
        </w:tabs>
        <w:ind w:left="0"/>
        <w:jc w:val="both"/>
      </w:pPr>
    </w:p>
    <w:p w:rsidR="00280A8A" w:rsidRDefault="00280A8A" w:rsidP="004C108D">
      <w:pPr>
        <w:pStyle w:val="ac"/>
        <w:tabs>
          <w:tab w:val="left" w:pos="900"/>
        </w:tabs>
        <w:ind w:left="0"/>
        <w:jc w:val="both"/>
      </w:pPr>
    </w:p>
    <w:p w:rsidR="00280A8A" w:rsidRDefault="00280A8A" w:rsidP="004C108D">
      <w:pPr>
        <w:pStyle w:val="ac"/>
        <w:tabs>
          <w:tab w:val="left" w:pos="900"/>
        </w:tabs>
        <w:ind w:left="0"/>
        <w:jc w:val="both"/>
      </w:pPr>
    </w:p>
    <w:p w:rsidR="00280A8A" w:rsidRDefault="00280A8A" w:rsidP="004C108D">
      <w:pPr>
        <w:pStyle w:val="ac"/>
        <w:tabs>
          <w:tab w:val="left" w:pos="900"/>
        </w:tabs>
        <w:ind w:left="0"/>
        <w:jc w:val="both"/>
      </w:pPr>
    </w:p>
    <w:p w:rsidR="00E77FC3" w:rsidRDefault="00E77FC3" w:rsidP="004C108D">
      <w:pPr>
        <w:pStyle w:val="ac"/>
        <w:tabs>
          <w:tab w:val="left" w:pos="900"/>
        </w:tabs>
        <w:ind w:left="0"/>
        <w:jc w:val="both"/>
      </w:pPr>
      <w:r>
        <w:t xml:space="preserve">- </w:t>
      </w:r>
      <w:r w:rsidR="00A460B2">
        <w:t xml:space="preserve">размер </w:t>
      </w:r>
      <w:r w:rsidR="0088474D">
        <w:t xml:space="preserve"> дефицита</w:t>
      </w:r>
      <w:r w:rsidR="00703F5F">
        <w:t xml:space="preserve"> бюджета района  в сумме 15 264 тыс. руб. или </w:t>
      </w:r>
      <w:r w:rsidR="00A460B2">
        <w:t xml:space="preserve">5,6 процентов </w:t>
      </w:r>
      <w:r w:rsidR="004940E6">
        <w:t xml:space="preserve"> общего годового объема доходов бюджета района без учета утвержденного объема безвозмездных поступлений, что не превышает предельный размер, установленный п.3 ст. 92.1 БК РФ.</w:t>
      </w:r>
    </w:p>
    <w:p w:rsidR="00126950" w:rsidRDefault="00703F5F" w:rsidP="004C108D">
      <w:pPr>
        <w:pStyle w:val="ac"/>
        <w:tabs>
          <w:tab w:val="left" w:pos="900"/>
        </w:tabs>
        <w:ind w:left="0"/>
        <w:jc w:val="both"/>
      </w:pPr>
      <w:r>
        <w:lastRenderedPageBreak/>
        <w:t xml:space="preserve"> </w:t>
      </w:r>
    </w:p>
    <w:p w:rsidR="00BC6728" w:rsidRDefault="004C3B5E" w:rsidP="004C108D">
      <w:pPr>
        <w:pStyle w:val="ac"/>
        <w:tabs>
          <w:tab w:val="left" w:pos="900"/>
        </w:tabs>
        <w:ind w:left="0"/>
        <w:jc w:val="both"/>
      </w:pPr>
      <w:r>
        <w:tab/>
      </w:r>
      <w:r w:rsidR="00FA3395">
        <w:t>Предельный объем муниципального</w:t>
      </w:r>
      <w:r w:rsidR="00694C9E">
        <w:t xml:space="preserve"> долга </w:t>
      </w:r>
      <w:r w:rsidR="00FA3395">
        <w:t>на 2011 год установлен в размере</w:t>
      </w:r>
      <w:r w:rsidR="00894867">
        <w:t xml:space="preserve"> </w:t>
      </w:r>
      <w:r w:rsidR="00FA3395">
        <w:t>272 098</w:t>
      </w:r>
      <w:r w:rsidR="00A602BD">
        <w:t xml:space="preserve"> тыс. рублей</w:t>
      </w:r>
      <w:r w:rsidR="00C322E9">
        <w:t xml:space="preserve">, что соответствует п.3 </w:t>
      </w:r>
      <w:r w:rsidR="00FA3395">
        <w:t xml:space="preserve">ст. 107 БК РФ. </w:t>
      </w:r>
      <w:r w:rsidR="00AD6127">
        <w:t xml:space="preserve"> </w:t>
      </w:r>
      <w:r w:rsidR="00FA3395">
        <w:t>Р</w:t>
      </w:r>
      <w:r w:rsidR="00894867">
        <w:t>ешением Думы от 3</w:t>
      </w:r>
      <w:r w:rsidR="00DF68F5">
        <w:t xml:space="preserve">0.12.2010г. №38 </w:t>
      </w:r>
      <w:r w:rsidR="00894867">
        <w:t xml:space="preserve"> верхний предел муниципального долга </w:t>
      </w:r>
      <w:r w:rsidR="00E77FC3">
        <w:t>по состоянию на 01 января 2012 года был установлен</w:t>
      </w:r>
      <w:r w:rsidR="00894867">
        <w:t xml:space="preserve"> в размере 0 тыс.</w:t>
      </w:r>
      <w:r w:rsidR="00534B3F">
        <w:t xml:space="preserve"> </w:t>
      </w:r>
      <w:r w:rsidR="00894867">
        <w:t>рублей, в том числе предельный объем обязательств по муници</w:t>
      </w:r>
      <w:r w:rsidR="00FA3395">
        <w:t>пальным гарантиям 0 тыс. рублей.</w:t>
      </w:r>
      <w:r w:rsidR="00812E34">
        <w:t xml:space="preserve"> В текстом материале пояснительной записке сказано, что</w:t>
      </w:r>
      <w:r w:rsidR="00FA3395">
        <w:t xml:space="preserve"> </w:t>
      </w:r>
      <w:r w:rsidR="00812E34">
        <w:rPr>
          <w:b/>
        </w:rPr>
        <w:t>ф</w:t>
      </w:r>
      <w:r w:rsidR="00E63261" w:rsidRPr="00534B3F">
        <w:rPr>
          <w:b/>
        </w:rPr>
        <w:t xml:space="preserve">актический размер </w:t>
      </w:r>
      <w:r w:rsidR="00FA3395">
        <w:rPr>
          <w:b/>
        </w:rPr>
        <w:t xml:space="preserve">сложившегося </w:t>
      </w:r>
      <w:r w:rsidR="00E63261" w:rsidRPr="00534B3F">
        <w:rPr>
          <w:b/>
        </w:rPr>
        <w:t>муниципального долга Нижнеилимского муниципального района по состоянию на 01</w:t>
      </w:r>
      <w:r w:rsidR="00534B3F" w:rsidRPr="00534B3F">
        <w:rPr>
          <w:b/>
        </w:rPr>
        <w:t xml:space="preserve"> января 2012 года составил 115 453 тыс. руб. Муниципальные гарантии в 2010 году не представлялись.</w:t>
      </w:r>
      <w:r w:rsidR="006933C6">
        <w:t xml:space="preserve"> </w:t>
      </w:r>
      <w:r w:rsidR="00812E34">
        <w:t xml:space="preserve">Согласно </w:t>
      </w:r>
      <w:r w:rsidR="00B87415">
        <w:t>представленной</w:t>
      </w:r>
      <w:r w:rsidR="00812E34">
        <w:t xml:space="preserve"> информации </w:t>
      </w:r>
      <w:r w:rsidR="006933C6">
        <w:t xml:space="preserve">по </w:t>
      </w:r>
      <w:r w:rsidR="00812E34">
        <w:t>форм</w:t>
      </w:r>
      <w:r w:rsidR="006933C6">
        <w:t>е</w:t>
      </w:r>
      <w:r w:rsidR="00B87415">
        <w:t xml:space="preserve"> ОКУД  (ф.050317)</w:t>
      </w:r>
      <w:r w:rsidR="0057695F">
        <w:t xml:space="preserve"> </w:t>
      </w:r>
      <w:r w:rsidR="006933C6">
        <w:t>к пояснительной записке</w:t>
      </w:r>
      <w:r w:rsidR="00DA33C8">
        <w:t xml:space="preserve"> отчета исполнения бюджета,</w:t>
      </w:r>
      <w:r w:rsidR="006933C6">
        <w:t xml:space="preserve"> муниципальный долг на 01.01.2012г.</w:t>
      </w:r>
      <w:r w:rsidR="00B87415">
        <w:t xml:space="preserve"> </w:t>
      </w:r>
      <w:r w:rsidR="00597DA6">
        <w:t xml:space="preserve"> </w:t>
      </w:r>
      <w:r w:rsidR="006933C6">
        <w:t>сложился из сумм</w:t>
      </w:r>
      <w:r w:rsidR="00BC78AD">
        <w:t>ы</w:t>
      </w:r>
      <w:r w:rsidR="00DA33C8">
        <w:t xml:space="preserve"> 112 159 911,12 рублей</w:t>
      </w:r>
      <w:r w:rsidR="006933C6">
        <w:t xml:space="preserve"> остатков </w:t>
      </w:r>
      <w:r w:rsidR="00DA33C8">
        <w:t>задолженности 2010 года</w:t>
      </w:r>
      <w:r w:rsidR="006933C6">
        <w:t xml:space="preserve"> и бюджетного кредита</w:t>
      </w:r>
      <w:r w:rsidR="00DA33C8">
        <w:t xml:space="preserve"> 2011 года</w:t>
      </w:r>
      <w:r w:rsidR="006933C6">
        <w:t xml:space="preserve"> в размере 3 293 тыс. рублей (на погашение кредиторской задолженности за 2009-2010 годы перед работниками учреждений образования, здравоохранения района по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местностям, и членов их семей</w:t>
      </w:r>
      <w:r w:rsidR="0008184F">
        <w:t>)</w:t>
      </w:r>
      <w:r w:rsidR="006933C6">
        <w:t>.</w:t>
      </w:r>
    </w:p>
    <w:p w:rsidR="00BC6728" w:rsidRDefault="00C33E40" w:rsidP="004C108D">
      <w:pPr>
        <w:pStyle w:val="ac"/>
        <w:tabs>
          <w:tab w:val="left" w:pos="900"/>
        </w:tabs>
        <w:ind w:left="0"/>
        <w:jc w:val="both"/>
      </w:pPr>
      <w:r>
        <w:tab/>
      </w:r>
      <w:r w:rsidR="00BC6728">
        <w:t>При анализе структуры муниципального долга по состоянию на 01.01.2012 г. установлено ее соответствие требованиям с</w:t>
      </w:r>
      <w:r w:rsidR="00064B8F">
        <w:t>татьи 100 Бюджетного кодекса РФ.</w:t>
      </w:r>
      <w:r w:rsidR="00BC6728">
        <w:t xml:space="preserve"> Однако, следует отметить, что зависимость района от кредитных обязательств увеличилась </w:t>
      </w:r>
      <w:r w:rsidR="00C073F9">
        <w:t xml:space="preserve"> </w:t>
      </w:r>
      <w:r w:rsidR="00BC6728">
        <w:t>на 3%.</w:t>
      </w:r>
    </w:p>
    <w:p w:rsidR="00894867" w:rsidRPr="00534B3F" w:rsidRDefault="00C33E40" w:rsidP="004C108D">
      <w:pPr>
        <w:pStyle w:val="ac"/>
        <w:tabs>
          <w:tab w:val="left" w:pos="900"/>
        </w:tabs>
        <w:ind w:left="0"/>
        <w:jc w:val="both"/>
      </w:pPr>
      <w:r>
        <w:tab/>
      </w:r>
      <w:r w:rsidR="00C073F9">
        <w:t xml:space="preserve">Предельный объем расходов на </w:t>
      </w:r>
      <w:r w:rsidR="00C073F9" w:rsidRPr="00C33E40">
        <w:rPr>
          <w:i/>
        </w:rPr>
        <w:t>обслуживание муниципального долга</w:t>
      </w:r>
      <w:r w:rsidR="00C073F9">
        <w:t xml:space="preserve"> на 2011 год</w:t>
      </w:r>
      <w:r w:rsidR="00517305">
        <w:t xml:space="preserve"> установлен в сумме 300</w:t>
      </w:r>
      <w:r w:rsidR="006A0E13">
        <w:t xml:space="preserve"> тыс.</w:t>
      </w:r>
      <w:r w:rsidR="00EB4F23">
        <w:t xml:space="preserve"> </w:t>
      </w:r>
      <w:r>
        <w:t>рублей,</w:t>
      </w:r>
      <w:r w:rsidR="00EB4F23">
        <w:t xml:space="preserve"> </w:t>
      </w:r>
      <w:r w:rsidR="006A0E13">
        <w:t xml:space="preserve"> т.е. 0,10% от объема расходов бюджета, за исключением объема расходов, осуществляемых за счет субвенций, что не превышает предел </w:t>
      </w:r>
      <w:r>
        <w:t>15%,</w:t>
      </w:r>
      <w:r w:rsidR="006A0E13">
        <w:t xml:space="preserve"> установленный ст.111 БК РФ.</w:t>
      </w:r>
      <w:r w:rsidR="00517305">
        <w:t xml:space="preserve"> Исполнение бюджета по данному виду расходов </w:t>
      </w:r>
      <w:r w:rsidR="00E923E7">
        <w:t>в 2011 году не осуществлялось, в связи с этим нарушено бюджетное законодательство, предусмотренное п.3 ст.112 БК РФ, в которой прописаны исключения при принятии новых долговых обязательств.</w:t>
      </w:r>
    </w:p>
    <w:p w:rsidR="004C3B5E" w:rsidRDefault="00534B3F" w:rsidP="0063536C">
      <w:pPr>
        <w:pStyle w:val="ac"/>
        <w:tabs>
          <w:tab w:val="left" w:pos="900"/>
        </w:tabs>
        <w:ind w:left="0"/>
        <w:jc w:val="both"/>
      </w:pPr>
      <w:r>
        <w:tab/>
      </w:r>
      <w:r w:rsidR="002D3B6E">
        <w:tab/>
      </w:r>
    </w:p>
    <w:p w:rsidR="001E778B" w:rsidRDefault="00C33E40" w:rsidP="00E57319">
      <w:pPr>
        <w:jc w:val="both"/>
      </w:pPr>
      <w:r>
        <w:tab/>
      </w:r>
      <w:r w:rsidR="001E778B">
        <w:t>Увеличение прогноза по доходам по сравнению с первоначальной редакцией</w:t>
      </w:r>
      <w:r w:rsidR="003C18E5">
        <w:t xml:space="preserve"> бюджета</w:t>
      </w:r>
      <w:r w:rsidR="00E57319">
        <w:t xml:space="preserve"> произведено за счет увеличения налоговых и неналоговых доходов на 42 120 тыс. рублей, и межбюджетных трансфертов </w:t>
      </w:r>
      <w:r w:rsidR="00B6172D">
        <w:t xml:space="preserve">из бюджетов других уровней </w:t>
      </w:r>
      <w:r w:rsidR="00FC15E2">
        <w:t xml:space="preserve">на </w:t>
      </w:r>
      <w:r w:rsidR="00B6172D">
        <w:t xml:space="preserve">191 684  тыс. рублей. </w:t>
      </w:r>
    </w:p>
    <w:p w:rsidR="003C18E5" w:rsidRDefault="003C18E5" w:rsidP="00BC78AD">
      <w:pPr>
        <w:tabs>
          <w:tab w:val="left" w:pos="7785"/>
        </w:tabs>
        <w:ind w:firstLine="709"/>
        <w:jc w:val="both"/>
      </w:pPr>
      <w:r>
        <w:t xml:space="preserve"> Расходы </w:t>
      </w:r>
      <w:r w:rsidR="00B6172D">
        <w:t>бюджета МО «Нижнеилимский район» по сравнению с первоначальной редакцией увеличены на 2</w:t>
      </w:r>
      <w:r w:rsidR="00CC1F28">
        <w:t>35 419 тыс.</w:t>
      </w:r>
      <w:r w:rsidR="00EB4F23">
        <w:t xml:space="preserve"> </w:t>
      </w:r>
      <w:r w:rsidR="00CC1F28">
        <w:t xml:space="preserve">руб., что составило </w:t>
      </w:r>
      <w:r w:rsidR="00B6172D">
        <w:t>23</w:t>
      </w:r>
      <w:r w:rsidR="00CC1F28">
        <w:t>,0</w:t>
      </w:r>
      <w:r w:rsidR="00B6172D">
        <w:t xml:space="preserve"> </w:t>
      </w:r>
      <w:r w:rsidR="00E77A4D">
        <w:t>%.</w:t>
      </w:r>
      <w:r w:rsidRPr="003C18E5">
        <w:t xml:space="preserve"> </w:t>
      </w:r>
    </w:p>
    <w:p w:rsidR="003C18E5" w:rsidRDefault="003C18E5" w:rsidP="003C18E5">
      <w:pPr>
        <w:tabs>
          <w:tab w:val="left" w:pos="7785"/>
        </w:tabs>
        <w:jc w:val="both"/>
      </w:pPr>
      <w:r>
        <w:t>Точность прогноза Финансового  управления составила 85% .</w:t>
      </w:r>
    </w:p>
    <w:p w:rsidR="00B6172D" w:rsidRDefault="00B6172D" w:rsidP="00E57319">
      <w:pPr>
        <w:jc w:val="both"/>
      </w:pPr>
    </w:p>
    <w:p w:rsidR="00E77A4D" w:rsidRDefault="00C33E40" w:rsidP="00E57319">
      <w:pPr>
        <w:jc w:val="both"/>
      </w:pPr>
      <w:r>
        <w:tab/>
      </w:r>
      <w:r w:rsidR="00E77A4D">
        <w:t xml:space="preserve">Согласно отчету об исполнении бюджета Нижнеилимского муниципального района за 2011 год по основным характеристикам исполнение бюджета составило: </w:t>
      </w:r>
    </w:p>
    <w:p w:rsidR="0047515B" w:rsidRDefault="0047515B" w:rsidP="00E57319">
      <w:pPr>
        <w:jc w:val="both"/>
      </w:pPr>
    </w:p>
    <w:p w:rsidR="00E77A4D" w:rsidRPr="00862121" w:rsidRDefault="00E77A4D" w:rsidP="00E77A4D">
      <w:pPr>
        <w:jc w:val="center"/>
        <w:rPr>
          <w:b/>
        </w:rPr>
      </w:pPr>
      <w:r w:rsidRPr="00862121">
        <w:rPr>
          <w:b/>
        </w:rPr>
        <w:t>Исполнение бюджета МО «Нижнеилимский район» за 2011 год</w:t>
      </w:r>
    </w:p>
    <w:p w:rsidR="00E77A4D" w:rsidRDefault="00E77A4D" w:rsidP="00E77A4D">
      <w:pPr>
        <w:tabs>
          <w:tab w:val="left" w:pos="7785"/>
        </w:tabs>
        <w:jc w:val="right"/>
      </w:pPr>
      <w:r>
        <w:tab/>
      </w:r>
    </w:p>
    <w:p w:rsidR="00E77A4D" w:rsidRDefault="00C33E40" w:rsidP="00E77A4D">
      <w:pPr>
        <w:tabs>
          <w:tab w:val="left" w:pos="7785"/>
        </w:tabs>
        <w:jc w:val="right"/>
      </w:pPr>
      <w:r>
        <w:t>Таблица № 4</w:t>
      </w:r>
      <w:r w:rsidR="00E77A4D">
        <w:t xml:space="preserve"> (тыс. руб.)</w:t>
      </w:r>
    </w:p>
    <w:tbl>
      <w:tblPr>
        <w:tblStyle w:val="a3"/>
        <w:tblW w:w="9606" w:type="dxa"/>
        <w:tblLayout w:type="fixed"/>
        <w:tblLook w:val="04A0"/>
      </w:tblPr>
      <w:tblGrid>
        <w:gridCol w:w="1905"/>
        <w:gridCol w:w="1322"/>
        <w:gridCol w:w="1134"/>
        <w:gridCol w:w="709"/>
        <w:gridCol w:w="1134"/>
        <w:gridCol w:w="1275"/>
        <w:gridCol w:w="993"/>
        <w:gridCol w:w="1134"/>
      </w:tblGrid>
      <w:tr w:rsidR="00F642B7" w:rsidTr="00F642B7">
        <w:trPr>
          <w:trHeight w:val="675"/>
        </w:trPr>
        <w:tc>
          <w:tcPr>
            <w:tcW w:w="1905" w:type="dxa"/>
            <w:vMerge w:val="restart"/>
            <w:vAlign w:val="center"/>
          </w:tcPr>
          <w:p w:rsidR="00F642B7" w:rsidRPr="004A251C" w:rsidRDefault="00F642B7" w:rsidP="004A251C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4A251C">
              <w:rPr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322" w:type="dxa"/>
            <w:vMerge w:val="restart"/>
            <w:vAlign w:val="center"/>
          </w:tcPr>
          <w:p w:rsidR="00F642B7" w:rsidRDefault="00F642B7" w:rsidP="004A251C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4A251C">
              <w:rPr>
                <w:sz w:val="20"/>
                <w:szCs w:val="20"/>
              </w:rPr>
              <w:t>Уточненный бюджет в редакции решения Думы от 27.12.2011 №165</w:t>
            </w:r>
          </w:p>
          <w:p w:rsidR="00F642B7" w:rsidRPr="004A251C" w:rsidRDefault="00F642B7" w:rsidP="004A251C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2B7" w:rsidRDefault="00F642B7" w:rsidP="004A251C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4A251C">
              <w:rPr>
                <w:sz w:val="20"/>
                <w:szCs w:val="20"/>
              </w:rPr>
              <w:t>Исполнение бюджета</w:t>
            </w:r>
          </w:p>
          <w:p w:rsidR="00F642B7" w:rsidRPr="004A251C" w:rsidRDefault="00F642B7" w:rsidP="004A251C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4A251C">
              <w:rPr>
                <w:sz w:val="20"/>
                <w:szCs w:val="20"/>
              </w:rPr>
              <w:t xml:space="preserve"> 2011год</w:t>
            </w:r>
          </w:p>
          <w:p w:rsidR="00F642B7" w:rsidRPr="004A251C" w:rsidRDefault="00F642B7" w:rsidP="004A251C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7" w:rsidRPr="00F642B7" w:rsidRDefault="00F642B7" w:rsidP="004A251C">
            <w:pPr>
              <w:tabs>
                <w:tab w:val="left" w:pos="77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2010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2B7" w:rsidRPr="004A251C" w:rsidRDefault="00F642B7" w:rsidP="004A251C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4A251C">
              <w:rPr>
                <w:sz w:val="20"/>
                <w:szCs w:val="20"/>
              </w:rPr>
              <w:t>Соотношение 2011 к 2010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7515B" w:rsidTr="00F642B7">
        <w:trPr>
          <w:trHeight w:val="975"/>
        </w:trPr>
        <w:tc>
          <w:tcPr>
            <w:tcW w:w="1905" w:type="dxa"/>
            <w:vMerge/>
            <w:vAlign w:val="center"/>
          </w:tcPr>
          <w:p w:rsidR="0047515B" w:rsidRPr="004A251C" w:rsidRDefault="0047515B" w:rsidP="004A251C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47515B" w:rsidRPr="004A251C" w:rsidRDefault="0047515B" w:rsidP="004A251C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515B" w:rsidRDefault="0047515B" w:rsidP="004A251C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4A251C">
              <w:rPr>
                <w:sz w:val="20"/>
                <w:szCs w:val="20"/>
              </w:rPr>
              <w:t>Сумма</w:t>
            </w:r>
          </w:p>
          <w:p w:rsidR="008570B2" w:rsidRPr="004A251C" w:rsidRDefault="008570B2" w:rsidP="004A251C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515B" w:rsidRPr="004A251C" w:rsidRDefault="0047515B" w:rsidP="004A251C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4A251C">
              <w:rPr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15B" w:rsidRPr="004A251C" w:rsidRDefault="0047515B" w:rsidP="004A251C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4A251C">
              <w:rPr>
                <w:sz w:val="20"/>
                <w:szCs w:val="20"/>
              </w:rPr>
              <w:t>Отклонение исполнения от утвержденного бюджета</w:t>
            </w:r>
            <w:r>
              <w:rPr>
                <w:sz w:val="20"/>
                <w:szCs w:val="20"/>
              </w:rPr>
              <w:t xml:space="preserve"> </w:t>
            </w:r>
            <w:r w:rsidR="008570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руб.</w:t>
            </w:r>
            <w:r w:rsidR="008570B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15B" w:rsidRPr="004A251C" w:rsidRDefault="0047515B" w:rsidP="004A251C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4A251C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="008570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руб.</w:t>
            </w:r>
            <w:r w:rsidR="008570B2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15B" w:rsidRPr="004A251C" w:rsidRDefault="0047515B" w:rsidP="004A251C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4A251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42B7" w:rsidRDefault="00F642B7" w:rsidP="004A251C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47515B" w:rsidRPr="004A251C" w:rsidRDefault="00F642B7" w:rsidP="004A251C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</w:tr>
      <w:tr w:rsidR="00F642B7" w:rsidTr="00F642B7">
        <w:tc>
          <w:tcPr>
            <w:tcW w:w="1905" w:type="dxa"/>
          </w:tcPr>
          <w:p w:rsidR="004A251C" w:rsidRDefault="004A251C" w:rsidP="00E77A4D">
            <w:pPr>
              <w:tabs>
                <w:tab w:val="left" w:pos="7785"/>
              </w:tabs>
              <w:jc w:val="both"/>
            </w:pPr>
            <w:r>
              <w:lastRenderedPageBreak/>
              <w:t>Общий объем доходов</w:t>
            </w:r>
          </w:p>
        </w:tc>
        <w:tc>
          <w:tcPr>
            <w:tcW w:w="1322" w:type="dxa"/>
            <w:vAlign w:val="center"/>
          </w:tcPr>
          <w:p w:rsidR="004A251C" w:rsidRPr="008570B2" w:rsidRDefault="004A251C" w:rsidP="008570B2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8570B2">
              <w:rPr>
                <w:sz w:val="20"/>
                <w:szCs w:val="20"/>
              </w:rPr>
              <w:t>1 228 878</w:t>
            </w:r>
          </w:p>
        </w:tc>
        <w:tc>
          <w:tcPr>
            <w:tcW w:w="1134" w:type="dxa"/>
            <w:vAlign w:val="center"/>
          </w:tcPr>
          <w:p w:rsidR="004A251C" w:rsidRPr="008570B2" w:rsidRDefault="00B9301D" w:rsidP="008570B2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8570B2">
              <w:rPr>
                <w:sz w:val="20"/>
                <w:szCs w:val="20"/>
              </w:rPr>
              <w:t>1 229 739</w:t>
            </w:r>
          </w:p>
        </w:tc>
        <w:tc>
          <w:tcPr>
            <w:tcW w:w="709" w:type="dxa"/>
            <w:vAlign w:val="center"/>
          </w:tcPr>
          <w:p w:rsidR="004A251C" w:rsidRPr="008570B2" w:rsidRDefault="000D6B96" w:rsidP="008570B2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8570B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A251C" w:rsidRPr="008570B2" w:rsidRDefault="00AE7D42" w:rsidP="008570B2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8570B2">
              <w:rPr>
                <w:sz w:val="20"/>
                <w:szCs w:val="20"/>
              </w:rPr>
              <w:t>861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1C" w:rsidRPr="008570B2" w:rsidRDefault="00AE25F8" w:rsidP="008570B2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8570B2">
              <w:rPr>
                <w:sz w:val="20"/>
                <w:szCs w:val="20"/>
              </w:rPr>
              <w:t>992 757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1C" w:rsidRPr="008570B2" w:rsidRDefault="00F642B7" w:rsidP="008570B2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A251C" w:rsidRPr="008570B2" w:rsidRDefault="00ED0E20" w:rsidP="008570B2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8570B2">
              <w:rPr>
                <w:sz w:val="20"/>
                <w:szCs w:val="20"/>
              </w:rPr>
              <w:t>236 982</w:t>
            </w:r>
          </w:p>
        </w:tc>
      </w:tr>
      <w:tr w:rsidR="00F642B7" w:rsidTr="00F642B7">
        <w:tc>
          <w:tcPr>
            <w:tcW w:w="1905" w:type="dxa"/>
          </w:tcPr>
          <w:p w:rsidR="004A251C" w:rsidRDefault="004A251C" w:rsidP="00E77A4D">
            <w:pPr>
              <w:tabs>
                <w:tab w:val="left" w:pos="7785"/>
              </w:tabs>
              <w:jc w:val="both"/>
            </w:pPr>
            <w:r>
              <w:t>Общий объем расходов</w:t>
            </w:r>
          </w:p>
        </w:tc>
        <w:tc>
          <w:tcPr>
            <w:tcW w:w="1322" w:type="dxa"/>
            <w:vAlign w:val="center"/>
          </w:tcPr>
          <w:p w:rsidR="004A251C" w:rsidRPr="008570B2" w:rsidRDefault="004A251C" w:rsidP="008570B2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8570B2">
              <w:rPr>
                <w:sz w:val="20"/>
                <w:szCs w:val="20"/>
              </w:rPr>
              <w:t>1 245 757</w:t>
            </w:r>
          </w:p>
        </w:tc>
        <w:tc>
          <w:tcPr>
            <w:tcW w:w="1134" w:type="dxa"/>
            <w:vAlign w:val="center"/>
          </w:tcPr>
          <w:p w:rsidR="004A251C" w:rsidRPr="008570B2" w:rsidRDefault="00B9301D" w:rsidP="008570B2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8570B2">
              <w:rPr>
                <w:sz w:val="20"/>
                <w:szCs w:val="20"/>
              </w:rPr>
              <w:t>1 235 059</w:t>
            </w:r>
          </w:p>
        </w:tc>
        <w:tc>
          <w:tcPr>
            <w:tcW w:w="709" w:type="dxa"/>
            <w:vAlign w:val="center"/>
          </w:tcPr>
          <w:p w:rsidR="004A251C" w:rsidRPr="008570B2" w:rsidRDefault="000D6B96" w:rsidP="008570B2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8570B2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A251C" w:rsidRPr="008570B2" w:rsidRDefault="00AE7D42" w:rsidP="008570B2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8570B2">
              <w:rPr>
                <w:sz w:val="20"/>
                <w:szCs w:val="20"/>
              </w:rPr>
              <w:t>-10 698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1C" w:rsidRPr="008570B2" w:rsidRDefault="00AE25F8" w:rsidP="008570B2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8570B2">
              <w:rPr>
                <w:sz w:val="20"/>
                <w:szCs w:val="20"/>
              </w:rPr>
              <w:t>944 484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1C" w:rsidRPr="008570B2" w:rsidRDefault="00CA45BB" w:rsidP="008570B2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A251C" w:rsidRPr="008570B2" w:rsidRDefault="00ED0E20" w:rsidP="008570B2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8570B2">
              <w:rPr>
                <w:sz w:val="20"/>
                <w:szCs w:val="20"/>
              </w:rPr>
              <w:t>290 575</w:t>
            </w:r>
          </w:p>
        </w:tc>
      </w:tr>
      <w:tr w:rsidR="00F642B7" w:rsidTr="00F642B7">
        <w:tc>
          <w:tcPr>
            <w:tcW w:w="1905" w:type="dxa"/>
          </w:tcPr>
          <w:p w:rsidR="003C18E5" w:rsidRDefault="003C18E5" w:rsidP="00E77A4D">
            <w:pPr>
              <w:tabs>
                <w:tab w:val="left" w:pos="7785"/>
              </w:tabs>
              <w:jc w:val="both"/>
            </w:pPr>
            <w:r>
              <w:t xml:space="preserve">- </w:t>
            </w:r>
            <w:r w:rsidR="004A251C">
              <w:t>Дефицит</w:t>
            </w:r>
            <w:r w:rsidR="00ED0E20">
              <w:t xml:space="preserve">, </w:t>
            </w:r>
          </w:p>
          <w:p w:rsidR="004A251C" w:rsidRDefault="003C18E5" w:rsidP="00E77A4D">
            <w:pPr>
              <w:tabs>
                <w:tab w:val="left" w:pos="7785"/>
              </w:tabs>
              <w:jc w:val="both"/>
            </w:pPr>
            <w:r>
              <w:t xml:space="preserve">+ </w:t>
            </w:r>
            <w:r w:rsidR="00ED0E20">
              <w:t>профицит</w:t>
            </w:r>
            <w:r w:rsidR="004A251C">
              <w:t xml:space="preserve"> </w:t>
            </w:r>
          </w:p>
        </w:tc>
        <w:tc>
          <w:tcPr>
            <w:tcW w:w="1322" w:type="dxa"/>
            <w:vAlign w:val="center"/>
          </w:tcPr>
          <w:p w:rsidR="004A251C" w:rsidRPr="008570B2" w:rsidRDefault="003C18E5" w:rsidP="008570B2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9301D" w:rsidRPr="008570B2">
              <w:rPr>
                <w:sz w:val="20"/>
                <w:szCs w:val="20"/>
              </w:rPr>
              <w:t>16 879</w:t>
            </w:r>
          </w:p>
        </w:tc>
        <w:tc>
          <w:tcPr>
            <w:tcW w:w="1134" w:type="dxa"/>
            <w:vAlign w:val="center"/>
          </w:tcPr>
          <w:p w:rsidR="004A251C" w:rsidRPr="008570B2" w:rsidRDefault="003C18E5" w:rsidP="008570B2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D0E20" w:rsidRPr="008570B2">
              <w:rPr>
                <w:sz w:val="20"/>
                <w:szCs w:val="20"/>
              </w:rPr>
              <w:t xml:space="preserve"> </w:t>
            </w:r>
            <w:r w:rsidR="00B9301D" w:rsidRPr="008570B2">
              <w:rPr>
                <w:sz w:val="20"/>
                <w:szCs w:val="20"/>
              </w:rPr>
              <w:t>5 320</w:t>
            </w:r>
          </w:p>
        </w:tc>
        <w:tc>
          <w:tcPr>
            <w:tcW w:w="709" w:type="dxa"/>
            <w:vAlign w:val="center"/>
          </w:tcPr>
          <w:p w:rsidR="004A251C" w:rsidRPr="008570B2" w:rsidRDefault="00AE7D42" w:rsidP="008570B2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8570B2">
              <w:rPr>
                <w:sz w:val="20"/>
                <w:szCs w:val="20"/>
              </w:rPr>
              <w:t>3,1 раз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A251C" w:rsidRPr="008570B2" w:rsidRDefault="003C18E5" w:rsidP="008570B2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E7D42" w:rsidRPr="008570B2">
              <w:rPr>
                <w:sz w:val="20"/>
                <w:szCs w:val="20"/>
              </w:rPr>
              <w:t xml:space="preserve"> 11 559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1C" w:rsidRPr="008570B2" w:rsidRDefault="00D21527" w:rsidP="008570B2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D0E20" w:rsidRPr="008570B2">
              <w:rPr>
                <w:sz w:val="20"/>
                <w:szCs w:val="20"/>
              </w:rPr>
              <w:t xml:space="preserve"> </w:t>
            </w:r>
            <w:r w:rsidR="00AE25F8" w:rsidRPr="008570B2">
              <w:rPr>
                <w:sz w:val="20"/>
                <w:szCs w:val="20"/>
              </w:rPr>
              <w:t>48 273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1C" w:rsidRPr="008570B2" w:rsidRDefault="004A251C" w:rsidP="008570B2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A251C" w:rsidRPr="008570B2" w:rsidRDefault="00ED0E20" w:rsidP="008570B2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8570B2">
              <w:rPr>
                <w:sz w:val="20"/>
                <w:szCs w:val="20"/>
              </w:rPr>
              <w:t>42 953</w:t>
            </w:r>
          </w:p>
        </w:tc>
      </w:tr>
    </w:tbl>
    <w:p w:rsidR="00064E97" w:rsidRDefault="00064E97" w:rsidP="004C108D">
      <w:pPr>
        <w:tabs>
          <w:tab w:val="left" w:pos="7785"/>
        </w:tabs>
        <w:ind w:firstLine="567"/>
        <w:jc w:val="both"/>
      </w:pPr>
    </w:p>
    <w:p w:rsidR="00064E97" w:rsidRDefault="00064E97" w:rsidP="004C108D">
      <w:pPr>
        <w:tabs>
          <w:tab w:val="left" w:pos="7785"/>
        </w:tabs>
        <w:ind w:firstLine="567"/>
        <w:jc w:val="both"/>
      </w:pPr>
      <w:r>
        <w:t>К уровню 2010 года</w:t>
      </w:r>
      <w:r w:rsidR="008570B2">
        <w:t xml:space="preserve"> поступление доходов </w:t>
      </w:r>
      <w:r w:rsidR="00A379B6">
        <w:t xml:space="preserve"> </w:t>
      </w:r>
      <w:r w:rsidR="008570B2">
        <w:t>составило</w:t>
      </w:r>
      <w:r w:rsidR="00F642B7">
        <w:t xml:space="preserve"> </w:t>
      </w:r>
      <w:r w:rsidR="00007568">
        <w:t>123,8 %</w:t>
      </w:r>
      <w:r>
        <w:t>.</w:t>
      </w:r>
    </w:p>
    <w:p w:rsidR="008570B2" w:rsidRDefault="00CC1F28" w:rsidP="00064E97">
      <w:pPr>
        <w:tabs>
          <w:tab w:val="left" w:pos="7785"/>
        </w:tabs>
        <w:jc w:val="both"/>
      </w:pPr>
      <w:r>
        <w:t xml:space="preserve"> Исполнение по доходам к уточненному бюджету</w:t>
      </w:r>
      <w:r w:rsidR="00064E97">
        <w:t xml:space="preserve"> составило 100 процентов</w:t>
      </w:r>
      <w:r w:rsidR="001F3B3C">
        <w:t>, в денежном выр</w:t>
      </w:r>
      <w:r w:rsidR="00064E97">
        <w:t>ажении  1  229 739</w:t>
      </w:r>
      <w:r w:rsidR="001F3B3C">
        <w:t xml:space="preserve"> тыс.рублей.</w:t>
      </w:r>
    </w:p>
    <w:p w:rsidR="00063414" w:rsidRDefault="00FA7A1B" w:rsidP="002D3B6E">
      <w:pPr>
        <w:tabs>
          <w:tab w:val="left" w:pos="7785"/>
        </w:tabs>
        <w:ind w:firstLine="567"/>
        <w:jc w:val="both"/>
      </w:pPr>
      <w:r>
        <w:t>Расходы бюджета Нижнеилимского муниципального района исполнены в сумме 1 235 059 тыс. рублей, что составило 99%  от запланированных расходов</w:t>
      </w:r>
      <w:r w:rsidR="000107A0">
        <w:t xml:space="preserve"> бюджета. Не выполнены бюджетные обязательства на сумму 10 698 тыс. рублей.</w:t>
      </w:r>
    </w:p>
    <w:p w:rsidR="00982170" w:rsidRDefault="00D21527" w:rsidP="002D3B6E">
      <w:pPr>
        <w:tabs>
          <w:tab w:val="left" w:pos="7785"/>
        </w:tabs>
        <w:ind w:firstLine="567"/>
        <w:jc w:val="both"/>
      </w:pPr>
      <w:r w:rsidRPr="00D21527">
        <w:t xml:space="preserve"> </w:t>
      </w:r>
      <w:r w:rsidR="00982170">
        <w:t xml:space="preserve">Уточненный бюджет МО «Нижнеилимский район» на 2011 год утвержден с дефицитом 16 879 тыс. рублей или 5,4 % утвержденного общего годового объема доходов районного бюджета без учета утвержденного объема безвозмездных поступлений, что не превышает установленный 10%-й предел (ст. 92.1 БК </w:t>
      </w:r>
      <w:r w:rsidR="00D837F4">
        <w:t xml:space="preserve">РФ).  По итогам исполнения </w:t>
      </w:r>
      <w:r w:rsidR="00BC78AD">
        <w:t xml:space="preserve"> бюджета</w:t>
      </w:r>
      <w:r w:rsidR="00D837F4">
        <w:t xml:space="preserve"> расходы</w:t>
      </w:r>
      <w:r w:rsidR="00BC78AD">
        <w:t xml:space="preserve"> превысили его доходы</w:t>
      </w:r>
      <w:r w:rsidR="00982170">
        <w:t>, сложился дефицит в сумме 5 320 тыс. руб.</w:t>
      </w:r>
    </w:p>
    <w:p w:rsidR="00982170" w:rsidRDefault="00982170" w:rsidP="00982170">
      <w:pPr>
        <w:tabs>
          <w:tab w:val="left" w:pos="7785"/>
        </w:tabs>
        <w:jc w:val="both"/>
      </w:pPr>
      <w:r>
        <w:t xml:space="preserve">По сравнению с 2010 годом объем расходов в 2011 году увеличился на 290 575 тыс. рублей, при увеличении доходов на 236 982 тыс. руб. </w:t>
      </w:r>
    </w:p>
    <w:p w:rsidR="00982170" w:rsidRDefault="00982170" w:rsidP="00982170">
      <w:pPr>
        <w:tabs>
          <w:tab w:val="left" w:pos="7785"/>
        </w:tabs>
        <w:jc w:val="both"/>
      </w:pPr>
      <w:r>
        <w:t xml:space="preserve"> </w:t>
      </w:r>
    </w:p>
    <w:p w:rsidR="00D21527" w:rsidRDefault="00D21527" w:rsidP="00D21527">
      <w:pPr>
        <w:tabs>
          <w:tab w:val="left" w:pos="7785"/>
        </w:tabs>
        <w:ind w:firstLine="567"/>
        <w:jc w:val="both"/>
      </w:pPr>
    </w:p>
    <w:p w:rsidR="00D21527" w:rsidRDefault="00D21527" w:rsidP="00D21527">
      <w:pPr>
        <w:tabs>
          <w:tab w:val="left" w:pos="7785"/>
        </w:tabs>
        <w:jc w:val="both"/>
      </w:pPr>
    </w:p>
    <w:p w:rsidR="00D21527" w:rsidRDefault="00D21527" w:rsidP="00D21527">
      <w:pPr>
        <w:tabs>
          <w:tab w:val="left" w:pos="7785"/>
        </w:tabs>
        <w:jc w:val="center"/>
      </w:pPr>
      <w:r>
        <w:t>Исполнение бюджета по кварталам</w:t>
      </w:r>
    </w:p>
    <w:p w:rsidR="00D21527" w:rsidRDefault="00D21527" w:rsidP="00D21527">
      <w:pPr>
        <w:tabs>
          <w:tab w:val="left" w:pos="7785"/>
        </w:tabs>
        <w:jc w:val="center"/>
      </w:pPr>
    </w:p>
    <w:p w:rsidR="00D21527" w:rsidRDefault="00D21527" w:rsidP="00D21527">
      <w:pPr>
        <w:tabs>
          <w:tab w:val="left" w:pos="7785"/>
        </w:tabs>
        <w:jc w:val="right"/>
      </w:pPr>
      <w:r>
        <w:t>Таблица № 5</w:t>
      </w:r>
    </w:p>
    <w:tbl>
      <w:tblPr>
        <w:tblStyle w:val="a3"/>
        <w:tblW w:w="0" w:type="auto"/>
        <w:tblLook w:val="04A0"/>
      </w:tblPr>
      <w:tblGrid>
        <w:gridCol w:w="1914"/>
        <w:gridCol w:w="2022"/>
        <w:gridCol w:w="1806"/>
        <w:gridCol w:w="2021"/>
        <w:gridCol w:w="1808"/>
      </w:tblGrid>
      <w:tr w:rsidR="00D21527" w:rsidTr="006604A5">
        <w:tc>
          <w:tcPr>
            <w:tcW w:w="1914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</w:p>
        </w:tc>
        <w:tc>
          <w:tcPr>
            <w:tcW w:w="3828" w:type="dxa"/>
            <w:gridSpan w:val="2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Доходы</w:t>
            </w:r>
          </w:p>
        </w:tc>
        <w:tc>
          <w:tcPr>
            <w:tcW w:w="3829" w:type="dxa"/>
            <w:gridSpan w:val="2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Расходы</w:t>
            </w:r>
          </w:p>
        </w:tc>
      </w:tr>
      <w:tr w:rsidR="00D21527" w:rsidTr="006604A5">
        <w:tc>
          <w:tcPr>
            <w:tcW w:w="1914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</w:p>
        </w:tc>
        <w:tc>
          <w:tcPr>
            <w:tcW w:w="2022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Сумма, тыс. руб.</w:t>
            </w:r>
          </w:p>
        </w:tc>
        <w:tc>
          <w:tcPr>
            <w:tcW w:w="1806" w:type="dxa"/>
            <w:vAlign w:val="center"/>
          </w:tcPr>
          <w:p w:rsidR="00D21527" w:rsidRDefault="00CE16E4" w:rsidP="006604A5">
            <w:pPr>
              <w:tabs>
                <w:tab w:val="left" w:pos="7785"/>
              </w:tabs>
              <w:jc w:val="center"/>
            </w:pPr>
            <w:r>
              <w:t>у</w:t>
            </w:r>
            <w:r w:rsidR="00D21527">
              <w:t>д.  вес,%</w:t>
            </w:r>
          </w:p>
        </w:tc>
        <w:tc>
          <w:tcPr>
            <w:tcW w:w="2021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Сумма, тыс. руб.</w:t>
            </w:r>
          </w:p>
        </w:tc>
        <w:tc>
          <w:tcPr>
            <w:tcW w:w="1808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Уд. вес, %</w:t>
            </w:r>
          </w:p>
        </w:tc>
      </w:tr>
      <w:tr w:rsidR="00D21527" w:rsidTr="006604A5">
        <w:tc>
          <w:tcPr>
            <w:tcW w:w="1914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1 квартал</w:t>
            </w:r>
          </w:p>
        </w:tc>
        <w:tc>
          <w:tcPr>
            <w:tcW w:w="2022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231 045</w:t>
            </w:r>
          </w:p>
        </w:tc>
        <w:tc>
          <w:tcPr>
            <w:tcW w:w="1806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18,8</w:t>
            </w:r>
          </w:p>
        </w:tc>
        <w:tc>
          <w:tcPr>
            <w:tcW w:w="2021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231 543</w:t>
            </w:r>
          </w:p>
        </w:tc>
        <w:tc>
          <w:tcPr>
            <w:tcW w:w="1808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18,7</w:t>
            </w:r>
          </w:p>
        </w:tc>
      </w:tr>
      <w:tr w:rsidR="00D21527" w:rsidTr="006604A5">
        <w:tc>
          <w:tcPr>
            <w:tcW w:w="1914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2 квартал</w:t>
            </w:r>
          </w:p>
        </w:tc>
        <w:tc>
          <w:tcPr>
            <w:tcW w:w="2022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185 336</w:t>
            </w:r>
          </w:p>
        </w:tc>
        <w:tc>
          <w:tcPr>
            <w:tcW w:w="1806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15,1</w:t>
            </w:r>
          </w:p>
        </w:tc>
        <w:tc>
          <w:tcPr>
            <w:tcW w:w="2021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242 913</w:t>
            </w:r>
          </w:p>
        </w:tc>
        <w:tc>
          <w:tcPr>
            <w:tcW w:w="1808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19,7</w:t>
            </w:r>
          </w:p>
        </w:tc>
      </w:tr>
      <w:tr w:rsidR="00D21527" w:rsidTr="006604A5">
        <w:tc>
          <w:tcPr>
            <w:tcW w:w="1914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3 квартал</w:t>
            </w:r>
          </w:p>
        </w:tc>
        <w:tc>
          <w:tcPr>
            <w:tcW w:w="2022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380 900</w:t>
            </w:r>
          </w:p>
        </w:tc>
        <w:tc>
          <w:tcPr>
            <w:tcW w:w="1806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30,9</w:t>
            </w:r>
          </w:p>
        </w:tc>
        <w:tc>
          <w:tcPr>
            <w:tcW w:w="2021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316 888</w:t>
            </w:r>
          </w:p>
        </w:tc>
        <w:tc>
          <w:tcPr>
            <w:tcW w:w="1808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25,7</w:t>
            </w:r>
          </w:p>
        </w:tc>
      </w:tr>
      <w:tr w:rsidR="00D21527" w:rsidTr="006604A5">
        <w:tc>
          <w:tcPr>
            <w:tcW w:w="1914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4 квартал</w:t>
            </w:r>
          </w:p>
        </w:tc>
        <w:tc>
          <w:tcPr>
            <w:tcW w:w="2022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432 458</w:t>
            </w:r>
          </w:p>
        </w:tc>
        <w:tc>
          <w:tcPr>
            <w:tcW w:w="1806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35,2</w:t>
            </w:r>
          </w:p>
        </w:tc>
        <w:tc>
          <w:tcPr>
            <w:tcW w:w="2021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443 715</w:t>
            </w:r>
          </w:p>
        </w:tc>
        <w:tc>
          <w:tcPr>
            <w:tcW w:w="1808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35,9</w:t>
            </w:r>
          </w:p>
        </w:tc>
      </w:tr>
      <w:tr w:rsidR="00D21527" w:rsidTr="006604A5">
        <w:tc>
          <w:tcPr>
            <w:tcW w:w="1914" w:type="dxa"/>
          </w:tcPr>
          <w:p w:rsidR="00D21527" w:rsidRDefault="00D21527" w:rsidP="006604A5">
            <w:pPr>
              <w:tabs>
                <w:tab w:val="left" w:pos="7785"/>
              </w:tabs>
            </w:pPr>
            <w:r>
              <w:t>Итого</w:t>
            </w:r>
          </w:p>
        </w:tc>
        <w:tc>
          <w:tcPr>
            <w:tcW w:w="2022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1 229 739</w:t>
            </w:r>
          </w:p>
        </w:tc>
        <w:tc>
          <w:tcPr>
            <w:tcW w:w="1806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100,0</w:t>
            </w:r>
          </w:p>
        </w:tc>
        <w:tc>
          <w:tcPr>
            <w:tcW w:w="2021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1 235 059</w:t>
            </w:r>
          </w:p>
        </w:tc>
        <w:tc>
          <w:tcPr>
            <w:tcW w:w="1808" w:type="dxa"/>
            <w:vAlign w:val="center"/>
          </w:tcPr>
          <w:p w:rsidR="00D21527" w:rsidRDefault="00D21527" w:rsidP="006604A5">
            <w:pPr>
              <w:tabs>
                <w:tab w:val="left" w:pos="7785"/>
              </w:tabs>
              <w:jc w:val="center"/>
            </w:pPr>
            <w:r>
              <w:t>100</w:t>
            </w:r>
          </w:p>
        </w:tc>
      </w:tr>
    </w:tbl>
    <w:p w:rsidR="00D21527" w:rsidRPr="00E77A4D" w:rsidRDefault="00D21527" w:rsidP="00D21527">
      <w:pPr>
        <w:tabs>
          <w:tab w:val="left" w:pos="7785"/>
        </w:tabs>
      </w:pPr>
    </w:p>
    <w:p w:rsidR="00D21527" w:rsidRDefault="00D21527" w:rsidP="00D21527">
      <w:pPr>
        <w:tabs>
          <w:tab w:val="left" w:pos="7785"/>
        </w:tabs>
        <w:ind w:firstLine="567"/>
        <w:jc w:val="both"/>
      </w:pPr>
      <w:r>
        <w:t>Исполнение бюджета Нижнеилимского муниципального района в 2011 году, как и в предыдущие годы осуществлялась не равномерно в течение года, как по доходам, так и по расходам. Увеличение доходов и, соответственно, расходов по сравнению с первоначально принятым бюджетом в большей степени обусловлено выделением  МО «Нижнеилимский район» дополнительных видов межбюджетных трансфертов из областного бюджета.</w:t>
      </w:r>
    </w:p>
    <w:p w:rsidR="00704956" w:rsidRDefault="00704956" w:rsidP="00D21527">
      <w:pPr>
        <w:tabs>
          <w:tab w:val="left" w:pos="7785"/>
        </w:tabs>
        <w:ind w:firstLine="567"/>
        <w:jc w:val="both"/>
      </w:pPr>
      <w:r>
        <w:t>В ходе подготовки заключения был проанализирован реестр расходных обязательств, составленный в соответствии с расходной частью бюджета района на 2011 год в первоначальной редакции.</w:t>
      </w:r>
    </w:p>
    <w:p w:rsidR="007D78ED" w:rsidRDefault="007D78ED" w:rsidP="003C18E5">
      <w:pPr>
        <w:tabs>
          <w:tab w:val="left" w:pos="7785"/>
        </w:tabs>
        <w:ind w:firstLine="567"/>
        <w:jc w:val="both"/>
      </w:pPr>
      <w:r w:rsidRPr="007D78ED">
        <w:t xml:space="preserve"> </w:t>
      </w:r>
      <w:r>
        <w:t xml:space="preserve">Общий объем расходных обязательств по реестру расходных обязательств составил 1 245 757 тыс. рублей. </w:t>
      </w:r>
    </w:p>
    <w:p w:rsidR="007D78ED" w:rsidRDefault="00704956" w:rsidP="007D78ED">
      <w:pPr>
        <w:pStyle w:val="ac"/>
        <w:ind w:left="0"/>
        <w:jc w:val="both"/>
      </w:pPr>
      <w:r>
        <w:t>Анали</w:t>
      </w:r>
      <w:r w:rsidR="00063414">
        <w:t>з</w:t>
      </w:r>
      <w:r w:rsidR="007D78ED">
        <w:t xml:space="preserve"> показал, что основную долю – 872 237 тыс. рублей, или 70,0% в общем объеме расходных обязательств районного бюджета занимают расходы, связанные с реализацией полномочий по решению вопросов местного значения муниципального района, предусмотренных ст.15 Федерального закона от 06.10.2003 № 131 «Об общих принципах организации местного самоуправления в Российской Федерации (далее Закон № 131-ФЗ)</w:t>
      </w:r>
    </w:p>
    <w:p w:rsidR="007D78ED" w:rsidRPr="00F05E7F" w:rsidRDefault="007D78ED" w:rsidP="007D78ED">
      <w:pPr>
        <w:pStyle w:val="ac"/>
        <w:ind w:left="0"/>
        <w:jc w:val="both"/>
      </w:pPr>
      <w:r>
        <w:lastRenderedPageBreak/>
        <w:tab/>
        <w:t>Расходные обязательства, возникшие в результате реализации МО «Нижнеилимский район» делегированных полномочий за счет субвенций, пере</w:t>
      </w:r>
      <w:r w:rsidR="00063414">
        <w:t>данных с другого уровня бюджетной системы</w:t>
      </w:r>
      <w:r>
        <w:t xml:space="preserve"> занимают 373 520 тыс. рублей, или 30</w:t>
      </w:r>
      <w:r w:rsidR="00063414">
        <w:t>,0</w:t>
      </w:r>
      <w:r>
        <w:t xml:space="preserve"> процентов</w:t>
      </w:r>
      <w:r w:rsidR="00BC78AD">
        <w:t xml:space="preserve"> общего объема районного бюджета</w:t>
      </w:r>
      <w:r>
        <w:t>.</w:t>
      </w:r>
    </w:p>
    <w:p w:rsidR="00007568" w:rsidRDefault="00007568" w:rsidP="00E77A4D">
      <w:pPr>
        <w:tabs>
          <w:tab w:val="left" w:pos="7785"/>
        </w:tabs>
        <w:jc w:val="both"/>
      </w:pPr>
    </w:p>
    <w:p w:rsidR="005B0733" w:rsidRPr="004C108D" w:rsidRDefault="005B0733" w:rsidP="005B0733">
      <w:pPr>
        <w:tabs>
          <w:tab w:val="left" w:pos="7785"/>
        </w:tabs>
        <w:jc w:val="center"/>
        <w:rPr>
          <w:b/>
        </w:rPr>
      </w:pPr>
      <w:r w:rsidRPr="004C108D">
        <w:rPr>
          <w:b/>
        </w:rPr>
        <w:t>Исполнение доходной части бюджета.</w:t>
      </w:r>
    </w:p>
    <w:p w:rsidR="00057994" w:rsidRDefault="00057994" w:rsidP="00057994">
      <w:pPr>
        <w:tabs>
          <w:tab w:val="left" w:pos="7785"/>
        </w:tabs>
        <w:jc w:val="both"/>
      </w:pPr>
    </w:p>
    <w:p w:rsidR="0066043C" w:rsidRDefault="00057994" w:rsidP="0066043C">
      <w:pPr>
        <w:tabs>
          <w:tab w:val="left" w:pos="7785"/>
        </w:tabs>
        <w:ind w:firstLine="567"/>
        <w:jc w:val="both"/>
      </w:pPr>
      <w:r>
        <w:t>Проверкой установлено, что показатели отчета об исполнении бюджета по доходам соответствуют отчету по поступлениям и выбытиям ф</w:t>
      </w:r>
      <w:r w:rsidR="004072DF">
        <w:t>.</w:t>
      </w:r>
      <w:r>
        <w:t>0503151,</w:t>
      </w:r>
      <w:r w:rsidR="00F81B7A">
        <w:t xml:space="preserve"> </w:t>
      </w:r>
      <w:r>
        <w:t xml:space="preserve">заверенному руководителем Отделения УФК по Нижнеилимскому району Иркутской области. </w:t>
      </w:r>
      <w:r w:rsidR="0066043C">
        <w:t xml:space="preserve">    </w:t>
      </w:r>
    </w:p>
    <w:p w:rsidR="00057994" w:rsidRDefault="00057994" w:rsidP="0066043C">
      <w:pPr>
        <w:tabs>
          <w:tab w:val="left" w:pos="7785"/>
        </w:tabs>
        <w:ind w:firstLine="567"/>
        <w:jc w:val="both"/>
      </w:pPr>
      <w:r>
        <w:t>Основные показатели исполнения бюджета по доходам представлены в таблице №</w:t>
      </w:r>
      <w:r w:rsidR="004D39E8">
        <w:t>6</w:t>
      </w:r>
      <w:r>
        <w:t>.</w:t>
      </w:r>
    </w:p>
    <w:p w:rsidR="00057994" w:rsidRDefault="00057994" w:rsidP="00057994">
      <w:pPr>
        <w:tabs>
          <w:tab w:val="left" w:pos="7785"/>
        </w:tabs>
        <w:jc w:val="both"/>
      </w:pPr>
    </w:p>
    <w:p w:rsidR="00057994" w:rsidRDefault="00057994" w:rsidP="00057994">
      <w:pPr>
        <w:tabs>
          <w:tab w:val="left" w:pos="7785"/>
        </w:tabs>
        <w:jc w:val="right"/>
      </w:pPr>
      <w:r>
        <w:t>Таблица №</w:t>
      </w:r>
      <w:r w:rsidR="006F225A">
        <w:t xml:space="preserve"> </w:t>
      </w:r>
      <w:r w:rsidR="00264299">
        <w:t>6</w:t>
      </w:r>
      <w:r>
        <w:t xml:space="preserve"> (тыс. руб.)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5"/>
        <w:gridCol w:w="1134"/>
        <w:gridCol w:w="1134"/>
        <w:gridCol w:w="1275"/>
        <w:gridCol w:w="1134"/>
        <w:gridCol w:w="993"/>
        <w:gridCol w:w="992"/>
        <w:gridCol w:w="674"/>
      </w:tblGrid>
      <w:tr w:rsidR="00A50A42" w:rsidTr="00C73305">
        <w:tc>
          <w:tcPr>
            <w:tcW w:w="2235" w:type="dxa"/>
          </w:tcPr>
          <w:p w:rsidR="00057994" w:rsidRPr="002C6ADA" w:rsidRDefault="00057994" w:rsidP="00057994">
            <w:pPr>
              <w:tabs>
                <w:tab w:val="left" w:pos="778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994" w:rsidRPr="002C6ADA" w:rsidRDefault="00057994" w:rsidP="006B4269">
            <w:pPr>
              <w:tabs>
                <w:tab w:val="left" w:pos="7785"/>
              </w:tabs>
              <w:jc w:val="center"/>
              <w:rPr>
                <w:b/>
                <w:sz w:val="18"/>
                <w:szCs w:val="18"/>
              </w:rPr>
            </w:pPr>
            <w:r w:rsidRPr="002C6ADA">
              <w:rPr>
                <w:b/>
                <w:sz w:val="18"/>
                <w:szCs w:val="18"/>
              </w:rPr>
              <w:t>Исполнено в 2010г.</w:t>
            </w:r>
          </w:p>
        </w:tc>
        <w:tc>
          <w:tcPr>
            <w:tcW w:w="1134" w:type="dxa"/>
            <w:vAlign w:val="center"/>
          </w:tcPr>
          <w:p w:rsidR="00057994" w:rsidRPr="002C6ADA" w:rsidRDefault="00057994" w:rsidP="006B4269">
            <w:pPr>
              <w:tabs>
                <w:tab w:val="left" w:pos="7785"/>
              </w:tabs>
              <w:jc w:val="center"/>
              <w:rPr>
                <w:b/>
                <w:sz w:val="18"/>
                <w:szCs w:val="18"/>
              </w:rPr>
            </w:pPr>
            <w:r w:rsidRPr="002C6ADA">
              <w:rPr>
                <w:b/>
                <w:sz w:val="18"/>
                <w:szCs w:val="18"/>
              </w:rPr>
              <w:t xml:space="preserve">Прогноз в </w:t>
            </w:r>
            <w:r w:rsidR="006B4269" w:rsidRPr="002C6ADA">
              <w:rPr>
                <w:b/>
                <w:sz w:val="18"/>
                <w:szCs w:val="18"/>
              </w:rPr>
              <w:t>редакции решения Думы от 30.12.2010 №38</w:t>
            </w:r>
          </w:p>
        </w:tc>
        <w:tc>
          <w:tcPr>
            <w:tcW w:w="1275" w:type="dxa"/>
            <w:vAlign w:val="center"/>
          </w:tcPr>
          <w:p w:rsidR="00057994" w:rsidRPr="002C6ADA" w:rsidRDefault="006B4269" w:rsidP="006B4269">
            <w:pPr>
              <w:tabs>
                <w:tab w:val="left" w:pos="7785"/>
              </w:tabs>
              <w:jc w:val="center"/>
              <w:rPr>
                <w:b/>
                <w:sz w:val="18"/>
                <w:szCs w:val="18"/>
              </w:rPr>
            </w:pPr>
            <w:r w:rsidRPr="002C6ADA">
              <w:rPr>
                <w:b/>
                <w:sz w:val="18"/>
                <w:szCs w:val="18"/>
              </w:rPr>
              <w:t>Уточненный бюджет в редакции решения Думы от 27.12.2011 №165</w:t>
            </w:r>
          </w:p>
        </w:tc>
        <w:tc>
          <w:tcPr>
            <w:tcW w:w="1134" w:type="dxa"/>
            <w:vAlign w:val="center"/>
          </w:tcPr>
          <w:p w:rsidR="00057994" w:rsidRPr="002C6ADA" w:rsidRDefault="00A50A42" w:rsidP="006B4269">
            <w:pPr>
              <w:tabs>
                <w:tab w:val="left" w:pos="7785"/>
              </w:tabs>
              <w:jc w:val="center"/>
              <w:rPr>
                <w:b/>
                <w:sz w:val="18"/>
                <w:szCs w:val="18"/>
              </w:rPr>
            </w:pPr>
            <w:r w:rsidRPr="002C6ADA">
              <w:rPr>
                <w:b/>
                <w:sz w:val="18"/>
                <w:szCs w:val="18"/>
              </w:rPr>
              <w:t>Исполнено</w:t>
            </w:r>
            <w:r w:rsidR="006B4269" w:rsidRPr="002C6ADA">
              <w:rPr>
                <w:b/>
                <w:sz w:val="18"/>
                <w:szCs w:val="18"/>
              </w:rPr>
              <w:t xml:space="preserve"> 2011 года</w:t>
            </w:r>
          </w:p>
        </w:tc>
        <w:tc>
          <w:tcPr>
            <w:tcW w:w="993" w:type="dxa"/>
            <w:vAlign w:val="center"/>
          </w:tcPr>
          <w:p w:rsidR="00057994" w:rsidRPr="002C6ADA" w:rsidRDefault="00A50A42" w:rsidP="006B4269">
            <w:pPr>
              <w:tabs>
                <w:tab w:val="left" w:pos="7785"/>
              </w:tabs>
              <w:jc w:val="center"/>
              <w:rPr>
                <w:b/>
                <w:sz w:val="18"/>
                <w:szCs w:val="18"/>
              </w:rPr>
            </w:pPr>
            <w:r w:rsidRPr="002C6ADA">
              <w:rPr>
                <w:b/>
                <w:sz w:val="18"/>
                <w:szCs w:val="18"/>
              </w:rPr>
              <w:t>% исп.</w:t>
            </w:r>
            <w:r w:rsidR="006B4269" w:rsidRPr="002C6ADA">
              <w:rPr>
                <w:b/>
                <w:sz w:val="18"/>
                <w:szCs w:val="18"/>
              </w:rPr>
              <w:t xml:space="preserve"> к первоначальному плану</w:t>
            </w:r>
          </w:p>
        </w:tc>
        <w:tc>
          <w:tcPr>
            <w:tcW w:w="992" w:type="dxa"/>
            <w:vAlign w:val="center"/>
          </w:tcPr>
          <w:p w:rsidR="00057994" w:rsidRPr="002C6ADA" w:rsidRDefault="00A50A42" w:rsidP="006B4269">
            <w:pPr>
              <w:tabs>
                <w:tab w:val="left" w:pos="7785"/>
              </w:tabs>
              <w:jc w:val="center"/>
              <w:rPr>
                <w:b/>
                <w:sz w:val="18"/>
                <w:szCs w:val="18"/>
              </w:rPr>
            </w:pPr>
            <w:r w:rsidRPr="002C6ADA">
              <w:rPr>
                <w:b/>
                <w:sz w:val="18"/>
                <w:szCs w:val="18"/>
              </w:rPr>
              <w:t>% исп.</w:t>
            </w:r>
            <w:r w:rsidR="006B4269" w:rsidRPr="002C6ADA">
              <w:rPr>
                <w:b/>
                <w:sz w:val="18"/>
                <w:szCs w:val="18"/>
              </w:rPr>
              <w:t xml:space="preserve"> к уточненному плану</w:t>
            </w:r>
          </w:p>
        </w:tc>
        <w:tc>
          <w:tcPr>
            <w:tcW w:w="674" w:type="dxa"/>
            <w:vAlign w:val="center"/>
          </w:tcPr>
          <w:p w:rsidR="00057994" w:rsidRPr="002C6ADA" w:rsidRDefault="006B4269" w:rsidP="006B4269">
            <w:pPr>
              <w:tabs>
                <w:tab w:val="left" w:pos="7785"/>
              </w:tabs>
              <w:jc w:val="center"/>
              <w:rPr>
                <w:b/>
                <w:sz w:val="18"/>
                <w:szCs w:val="18"/>
              </w:rPr>
            </w:pPr>
            <w:r w:rsidRPr="002C6ADA">
              <w:rPr>
                <w:b/>
                <w:sz w:val="18"/>
                <w:szCs w:val="18"/>
              </w:rPr>
              <w:t>2011/2010</w:t>
            </w:r>
            <w:r w:rsidR="00A50A42" w:rsidRPr="002C6ADA">
              <w:rPr>
                <w:b/>
                <w:sz w:val="18"/>
                <w:szCs w:val="18"/>
              </w:rPr>
              <w:t xml:space="preserve"> %</w:t>
            </w:r>
          </w:p>
        </w:tc>
      </w:tr>
      <w:tr w:rsidR="00A50A42" w:rsidTr="00BD6B54">
        <w:trPr>
          <w:trHeight w:val="72"/>
        </w:trPr>
        <w:tc>
          <w:tcPr>
            <w:tcW w:w="2235" w:type="dxa"/>
            <w:vAlign w:val="center"/>
          </w:tcPr>
          <w:p w:rsidR="00057994" w:rsidRPr="002C6ADA" w:rsidRDefault="006B4269" w:rsidP="006B4269">
            <w:pPr>
              <w:tabs>
                <w:tab w:val="left" w:pos="7785"/>
              </w:tabs>
              <w:jc w:val="center"/>
              <w:rPr>
                <w:b/>
                <w:sz w:val="20"/>
                <w:szCs w:val="20"/>
              </w:rPr>
            </w:pPr>
            <w:r w:rsidRPr="002C6A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57994" w:rsidRPr="002C6ADA" w:rsidRDefault="006B4269" w:rsidP="006B4269">
            <w:pPr>
              <w:tabs>
                <w:tab w:val="left" w:pos="7785"/>
              </w:tabs>
              <w:jc w:val="center"/>
              <w:rPr>
                <w:b/>
                <w:sz w:val="20"/>
                <w:szCs w:val="20"/>
              </w:rPr>
            </w:pPr>
            <w:r w:rsidRPr="002C6A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57994" w:rsidRPr="002C6ADA" w:rsidRDefault="006B4269" w:rsidP="006B4269">
            <w:pPr>
              <w:tabs>
                <w:tab w:val="left" w:pos="7785"/>
              </w:tabs>
              <w:jc w:val="center"/>
              <w:rPr>
                <w:b/>
                <w:sz w:val="20"/>
                <w:szCs w:val="20"/>
              </w:rPr>
            </w:pPr>
            <w:r w:rsidRPr="002C6AD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057994" w:rsidRPr="002C6ADA" w:rsidRDefault="006B4269" w:rsidP="006B4269">
            <w:pPr>
              <w:tabs>
                <w:tab w:val="left" w:pos="7785"/>
              </w:tabs>
              <w:jc w:val="center"/>
              <w:rPr>
                <w:b/>
                <w:sz w:val="20"/>
                <w:szCs w:val="20"/>
              </w:rPr>
            </w:pPr>
            <w:r w:rsidRPr="002C6A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57994" w:rsidRPr="002C6ADA" w:rsidRDefault="006B4269" w:rsidP="006B4269">
            <w:pPr>
              <w:tabs>
                <w:tab w:val="left" w:pos="7785"/>
              </w:tabs>
              <w:jc w:val="center"/>
              <w:rPr>
                <w:b/>
                <w:sz w:val="20"/>
                <w:szCs w:val="20"/>
              </w:rPr>
            </w:pPr>
            <w:r w:rsidRPr="002C6AD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057994" w:rsidRPr="002C6ADA" w:rsidRDefault="006B4269" w:rsidP="006B4269">
            <w:pPr>
              <w:tabs>
                <w:tab w:val="left" w:pos="7785"/>
              </w:tabs>
              <w:jc w:val="center"/>
              <w:rPr>
                <w:b/>
                <w:sz w:val="20"/>
                <w:szCs w:val="20"/>
              </w:rPr>
            </w:pPr>
            <w:r w:rsidRPr="002C6AD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57994" w:rsidRPr="002C6ADA" w:rsidRDefault="006B4269" w:rsidP="006B4269">
            <w:pPr>
              <w:tabs>
                <w:tab w:val="left" w:pos="7785"/>
              </w:tabs>
              <w:jc w:val="center"/>
              <w:rPr>
                <w:b/>
                <w:sz w:val="20"/>
                <w:szCs w:val="20"/>
              </w:rPr>
            </w:pPr>
            <w:r w:rsidRPr="002C6AD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74" w:type="dxa"/>
            <w:vAlign w:val="center"/>
          </w:tcPr>
          <w:p w:rsidR="00057994" w:rsidRPr="002C6ADA" w:rsidRDefault="006B4269" w:rsidP="006B4269">
            <w:pPr>
              <w:tabs>
                <w:tab w:val="left" w:pos="7785"/>
              </w:tabs>
              <w:jc w:val="center"/>
              <w:rPr>
                <w:b/>
                <w:sz w:val="18"/>
                <w:szCs w:val="18"/>
              </w:rPr>
            </w:pPr>
            <w:r w:rsidRPr="002C6ADA">
              <w:rPr>
                <w:b/>
                <w:sz w:val="18"/>
                <w:szCs w:val="18"/>
              </w:rPr>
              <w:t>8</w:t>
            </w:r>
          </w:p>
        </w:tc>
      </w:tr>
      <w:tr w:rsidR="00A50A42" w:rsidRPr="00BD6B54" w:rsidTr="002C6ADA">
        <w:tc>
          <w:tcPr>
            <w:tcW w:w="2235" w:type="dxa"/>
          </w:tcPr>
          <w:p w:rsidR="00057994" w:rsidRPr="002C6ADA" w:rsidRDefault="006B4269" w:rsidP="00057994">
            <w:pPr>
              <w:tabs>
                <w:tab w:val="left" w:pos="7785"/>
              </w:tabs>
              <w:jc w:val="both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Доходы, всего</w:t>
            </w:r>
          </w:p>
        </w:tc>
        <w:tc>
          <w:tcPr>
            <w:tcW w:w="1134" w:type="dxa"/>
            <w:vAlign w:val="center"/>
          </w:tcPr>
          <w:p w:rsidR="00057994" w:rsidRPr="002C6ADA" w:rsidRDefault="00C73305" w:rsidP="00A42B17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992 757</w:t>
            </w:r>
          </w:p>
        </w:tc>
        <w:tc>
          <w:tcPr>
            <w:tcW w:w="1134" w:type="dxa"/>
            <w:vAlign w:val="center"/>
          </w:tcPr>
          <w:p w:rsidR="00057994" w:rsidRPr="002C6ADA" w:rsidRDefault="008F63D9" w:rsidP="00A42B17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995 074</w:t>
            </w:r>
          </w:p>
        </w:tc>
        <w:tc>
          <w:tcPr>
            <w:tcW w:w="1275" w:type="dxa"/>
            <w:vAlign w:val="center"/>
          </w:tcPr>
          <w:p w:rsidR="00057994" w:rsidRPr="002C6ADA" w:rsidRDefault="00C73305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1 228 878</w:t>
            </w:r>
          </w:p>
        </w:tc>
        <w:tc>
          <w:tcPr>
            <w:tcW w:w="1134" w:type="dxa"/>
            <w:vAlign w:val="center"/>
          </w:tcPr>
          <w:p w:rsidR="00057994" w:rsidRPr="002C6ADA" w:rsidRDefault="008F63D9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1 229 739</w:t>
            </w:r>
          </w:p>
        </w:tc>
        <w:tc>
          <w:tcPr>
            <w:tcW w:w="993" w:type="dxa"/>
            <w:vAlign w:val="center"/>
          </w:tcPr>
          <w:p w:rsidR="00057994" w:rsidRPr="002C6ADA" w:rsidRDefault="00BD6B54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123,6</w:t>
            </w:r>
          </w:p>
        </w:tc>
        <w:tc>
          <w:tcPr>
            <w:tcW w:w="992" w:type="dxa"/>
            <w:vAlign w:val="center"/>
          </w:tcPr>
          <w:p w:rsidR="00057994" w:rsidRPr="002C6ADA" w:rsidRDefault="00BD6B54" w:rsidP="002C6ADA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100,0</w:t>
            </w:r>
          </w:p>
        </w:tc>
        <w:tc>
          <w:tcPr>
            <w:tcW w:w="674" w:type="dxa"/>
            <w:vAlign w:val="center"/>
          </w:tcPr>
          <w:p w:rsidR="00057994" w:rsidRPr="00BD6B54" w:rsidRDefault="002C6ADA" w:rsidP="002C6ADA">
            <w:pPr>
              <w:tabs>
                <w:tab w:val="left" w:pos="77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</w:tr>
      <w:tr w:rsidR="00A50A42" w:rsidRPr="00BD6B54" w:rsidTr="002C6ADA">
        <w:tc>
          <w:tcPr>
            <w:tcW w:w="2235" w:type="dxa"/>
          </w:tcPr>
          <w:p w:rsidR="00057994" w:rsidRPr="002C6ADA" w:rsidRDefault="006B4269" w:rsidP="00057994">
            <w:pPr>
              <w:tabs>
                <w:tab w:val="left" w:pos="7785"/>
              </w:tabs>
              <w:jc w:val="both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НДФЛ</w:t>
            </w:r>
          </w:p>
        </w:tc>
        <w:tc>
          <w:tcPr>
            <w:tcW w:w="1134" w:type="dxa"/>
            <w:vAlign w:val="center"/>
          </w:tcPr>
          <w:p w:rsidR="00057994" w:rsidRPr="002C6ADA" w:rsidRDefault="00A42B17" w:rsidP="00A42B17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186 860</w:t>
            </w:r>
          </w:p>
        </w:tc>
        <w:tc>
          <w:tcPr>
            <w:tcW w:w="1134" w:type="dxa"/>
            <w:vAlign w:val="center"/>
          </w:tcPr>
          <w:p w:rsidR="00057994" w:rsidRPr="002C6ADA" w:rsidRDefault="008F63D9" w:rsidP="00A42B17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178 407</w:t>
            </w:r>
          </w:p>
        </w:tc>
        <w:tc>
          <w:tcPr>
            <w:tcW w:w="1275" w:type="dxa"/>
            <w:vAlign w:val="center"/>
          </w:tcPr>
          <w:p w:rsidR="00057994" w:rsidRPr="002C6ADA" w:rsidRDefault="00A42B17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205 752</w:t>
            </w:r>
          </w:p>
        </w:tc>
        <w:tc>
          <w:tcPr>
            <w:tcW w:w="1134" w:type="dxa"/>
            <w:vAlign w:val="center"/>
          </w:tcPr>
          <w:p w:rsidR="00057994" w:rsidRPr="002C6ADA" w:rsidRDefault="00BD6B54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210 856</w:t>
            </w:r>
          </w:p>
        </w:tc>
        <w:tc>
          <w:tcPr>
            <w:tcW w:w="993" w:type="dxa"/>
            <w:vAlign w:val="center"/>
          </w:tcPr>
          <w:p w:rsidR="00057994" w:rsidRPr="002C6ADA" w:rsidRDefault="00BD6B54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118,2</w:t>
            </w:r>
          </w:p>
        </w:tc>
        <w:tc>
          <w:tcPr>
            <w:tcW w:w="992" w:type="dxa"/>
            <w:vAlign w:val="center"/>
          </w:tcPr>
          <w:p w:rsidR="00057994" w:rsidRPr="002C6ADA" w:rsidRDefault="00BD6B54" w:rsidP="002C6ADA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102,4</w:t>
            </w:r>
          </w:p>
        </w:tc>
        <w:tc>
          <w:tcPr>
            <w:tcW w:w="674" w:type="dxa"/>
            <w:vAlign w:val="center"/>
          </w:tcPr>
          <w:p w:rsidR="00057994" w:rsidRPr="00BD6B54" w:rsidRDefault="002C6ADA" w:rsidP="002C6ADA">
            <w:pPr>
              <w:tabs>
                <w:tab w:val="left" w:pos="77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</w:tr>
      <w:tr w:rsidR="00A50A42" w:rsidRPr="00BD6B54" w:rsidTr="002C6ADA">
        <w:tc>
          <w:tcPr>
            <w:tcW w:w="2235" w:type="dxa"/>
          </w:tcPr>
          <w:p w:rsidR="00057994" w:rsidRPr="002C6ADA" w:rsidRDefault="006B4269" w:rsidP="00057994">
            <w:pPr>
              <w:tabs>
                <w:tab w:val="left" w:pos="7785"/>
              </w:tabs>
              <w:jc w:val="both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center"/>
          </w:tcPr>
          <w:p w:rsidR="00057994" w:rsidRPr="002C6ADA" w:rsidRDefault="008F63D9" w:rsidP="00A42B17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1</w:t>
            </w:r>
            <w:r w:rsidR="00A42B17" w:rsidRPr="002C6ADA">
              <w:rPr>
                <w:sz w:val="20"/>
                <w:szCs w:val="20"/>
              </w:rPr>
              <w:t>6 442</w:t>
            </w:r>
          </w:p>
        </w:tc>
        <w:tc>
          <w:tcPr>
            <w:tcW w:w="1134" w:type="dxa"/>
            <w:vAlign w:val="center"/>
          </w:tcPr>
          <w:p w:rsidR="00057994" w:rsidRPr="002C6ADA" w:rsidRDefault="008F63D9" w:rsidP="00A42B17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16 311</w:t>
            </w:r>
          </w:p>
        </w:tc>
        <w:tc>
          <w:tcPr>
            <w:tcW w:w="1275" w:type="dxa"/>
            <w:vAlign w:val="center"/>
          </w:tcPr>
          <w:p w:rsidR="00057994" w:rsidRPr="002C6ADA" w:rsidRDefault="00A42B17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17 977</w:t>
            </w:r>
          </w:p>
        </w:tc>
        <w:tc>
          <w:tcPr>
            <w:tcW w:w="1134" w:type="dxa"/>
            <w:vAlign w:val="center"/>
          </w:tcPr>
          <w:p w:rsidR="00057994" w:rsidRPr="002C6ADA" w:rsidRDefault="00A42B17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18 204</w:t>
            </w:r>
          </w:p>
        </w:tc>
        <w:tc>
          <w:tcPr>
            <w:tcW w:w="993" w:type="dxa"/>
            <w:vAlign w:val="center"/>
          </w:tcPr>
          <w:p w:rsidR="00057994" w:rsidRPr="002C6ADA" w:rsidRDefault="00BD6B54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111,6</w:t>
            </w:r>
          </w:p>
        </w:tc>
        <w:tc>
          <w:tcPr>
            <w:tcW w:w="992" w:type="dxa"/>
            <w:vAlign w:val="center"/>
          </w:tcPr>
          <w:p w:rsidR="00057994" w:rsidRPr="002C6ADA" w:rsidRDefault="00BD6B54" w:rsidP="002C6ADA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101,3</w:t>
            </w:r>
          </w:p>
        </w:tc>
        <w:tc>
          <w:tcPr>
            <w:tcW w:w="674" w:type="dxa"/>
            <w:vAlign w:val="center"/>
          </w:tcPr>
          <w:p w:rsidR="00057994" w:rsidRPr="00BD6B54" w:rsidRDefault="002C6ADA" w:rsidP="002C6ADA">
            <w:pPr>
              <w:tabs>
                <w:tab w:val="left" w:pos="77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A50A42" w:rsidRPr="00BD6B54" w:rsidTr="002C6ADA">
        <w:tc>
          <w:tcPr>
            <w:tcW w:w="2235" w:type="dxa"/>
          </w:tcPr>
          <w:p w:rsidR="00057994" w:rsidRPr="002C6ADA" w:rsidRDefault="00A50A42" w:rsidP="00057994">
            <w:pPr>
              <w:tabs>
                <w:tab w:val="left" w:pos="7785"/>
              </w:tabs>
              <w:jc w:val="both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057994" w:rsidRPr="002C6ADA" w:rsidRDefault="00A42B17" w:rsidP="00A42B17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12 054</w:t>
            </w:r>
          </w:p>
        </w:tc>
        <w:tc>
          <w:tcPr>
            <w:tcW w:w="1134" w:type="dxa"/>
            <w:vAlign w:val="center"/>
          </w:tcPr>
          <w:p w:rsidR="00057994" w:rsidRPr="002C6ADA" w:rsidRDefault="008F63D9" w:rsidP="00A42B17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12 224</w:t>
            </w:r>
          </w:p>
        </w:tc>
        <w:tc>
          <w:tcPr>
            <w:tcW w:w="1275" w:type="dxa"/>
            <w:vAlign w:val="center"/>
          </w:tcPr>
          <w:p w:rsidR="00057994" w:rsidRPr="002C6ADA" w:rsidRDefault="00A42B17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11 006</w:t>
            </w:r>
          </w:p>
        </w:tc>
        <w:tc>
          <w:tcPr>
            <w:tcW w:w="1134" w:type="dxa"/>
            <w:vAlign w:val="center"/>
          </w:tcPr>
          <w:p w:rsidR="00057994" w:rsidRPr="002C6ADA" w:rsidRDefault="00A42B17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11 209</w:t>
            </w:r>
          </w:p>
        </w:tc>
        <w:tc>
          <w:tcPr>
            <w:tcW w:w="993" w:type="dxa"/>
            <w:vAlign w:val="center"/>
          </w:tcPr>
          <w:p w:rsidR="00057994" w:rsidRPr="002C6ADA" w:rsidRDefault="00BD6B54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91,7</w:t>
            </w:r>
          </w:p>
        </w:tc>
        <w:tc>
          <w:tcPr>
            <w:tcW w:w="992" w:type="dxa"/>
            <w:vAlign w:val="center"/>
          </w:tcPr>
          <w:p w:rsidR="00057994" w:rsidRPr="002C6ADA" w:rsidRDefault="00BD6B54" w:rsidP="002C6ADA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101,8</w:t>
            </w:r>
          </w:p>
        </w:tc>
        <w:tc>
          <w:tcPr>
            <w:tcW w:w="674" w:type="dxa"/>
            <w:vAlign w:val="center"/>
          </w:tcPr>
          <w:p w:rsidR="00057994" w:rsidRPr="00BD6B54" w:rsidRDefault="002C6ADA" w:rsidP="002C6ADA">
            <w:pPr>
              <w:tabs>
                <w:tab w:val="left" w:pos="77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</w:tr>
      <w:tr w:rsidR="00A50A42" w:rsidRPr="00BD6B54" w:rsidTr="002C6ADA">
        <w:tc>
          <w:tcPr>
            <w:tcW w:w="2235" w:type="dxa"/>
          </w:tcPr>
          <w:p w:rsidR="00057994" w:rsidRPr="002C6ADA" w:rsidRDefault="00A50A42" w:rsidP="00057994">
            <w:pPr>
              <w:tabs>
                <w:tab w:val="left" w:pos="7785"/>
              </w:tabs>
              <w:jc w:val="both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Платежи за пользование природными ресурсами</w:t>
            </w:r>
          </w:p>
        </w:tc>
        <w:tc>
          <w:tcPr>
            <w:tcW w:w="1134" w:type="dxa"/>
            <w:vAlign w:val="center"/>
          </w:tcPr>
          <w:p w:rsidR="00057994" w:rsidRPr="002C6ADA" w:rsidRDefault="00A42B17" w:rsidP="00A42B17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21 732</w:t>
            </w:r>
          </w:p>
        </w:tc>
        <w:tc>
          <w:tcPr>
            <w:tcW w:w="1134" w:type="dxa"/>
            <w:vAlign w:val="center"/>
          </w:tcPr>
          <w:p w:rsidR="00057994" w:rsidRPr="002C6ADA" w:rsidRDefault="008F63D9" w:rsidP="00A42B17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23 125</w:t>
            </w:r>
          </w:p>
        </w:tc>
        <w:tc>
          <w:tcPr>
            <w:tcW w:w="1275" w:type="dxa"/>
            <w:vAlign w:val="center"/>
          </w:tcPr>
          <w:p w:rsidR="00057994" w:rsidRPr="002C6ADA" w:rsidRDefault="00A42B17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21 461</w:t>
            </w:r>
          </w:p>
        </w:tc>
        <w:tc>
          <w:tcPr>
            <w:tcW w:w="1134" w:type="dxa"/>
            <w:vAlign w:val="center"/>
          </w:tcPr>
          <w:p w:rsidR="00057994" w:rsidRPr="002C6ADA" w:rsidRDefault="00A42B17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21 423</w:t>
            </w:r>
          </w:p>
        </w:tc>
        <w:tc>
          <w:tcPr>
            <w:tcW w:w="993" w:type="dxa"/>
            <w:vAlign w:val="center"/>
          </w:tcPr>
          <w:p w:rsidR="00057994" w:rsidRPr="002C6ADA" w:rsidRDefault="00BD6B54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vAlign w:val="center"/>
          </w:tcPr>
          <w:p w:rsidR="00057994" w:rsidRPr="002C6ADA" w:rsidRDefault="002C6ADA" w:rsidP="002C6ADA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99,8</w:t>
            </w:r>
          </w:p>
        </w:tc>
        <w:tc>
          <w:tcPr>
            <w:tcW w:w="674" w:type="dxa"/>
            <w:vAlign w:val="center"/>
          </w:tcPr>
          <w:p w:rsidR="00057994" w:rsidRPr="00BD6B54" w:rsidRDefault="002C6ADA" w:rsidP="002C6ADA">
            <w:pPr>
              <w:tabs>
                <w:tab w:val="left" w:pos="77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</w:tr>
      <w:tr w:rsidR="00A50A42" w:rsidRPr="00BD6B54" w:rsidTr="002C6ADA">
        <w:tc>
          <w:tcPr>
            <w:tcW w:w="2235" w:type="dxa"/>
          </w:tcPr>
          <w:p w:rsidR="00057994" w:rsidRPr="002C6ADA" w:rsidRDefault="00A50A42" w:rsidP="00057994">
            <w:pPr>
              <w:tabs>
                <w:tab w:val="left" w:pos="7785"/>
              </w:tabs>
              <w:jc w:val="both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Доходы от продажи материальных и не материальных активов</w:t>
            </w:r>
          </w:p>
        </w:tc>
        <w:tc>
          <w:tcPr>
            <w:tcW w:w="1134" w:type="dxa"/>
            <w:vAlign w:val="center"/>
          </w:tcPr>
          <w:p w:rsidR="00057994" w:rsidRPr="002C6ADA" w:rsidRDefault="00A42B17" w:rsidP="00A42B17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4 672</w:t>
            </w:r>
          </w:p>
        </w:tc>
        <w:tc>
          <w:tcPr>
            <w:tcW w:w="1134" w:type="dxa"/>
            <w:vAlign w:val="center"/>
          </w:tcPr>
          <w:p w:rsidR="00057994" w:rsidRPr="002C6ADA" w:rsidRDefault="008F63D9" w:rsidP="00A42B17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5 895</w:t>
            </w:r>
          </w:p>
        </w:tc>
        <w:tc>
          <w:tcPr>
            <w:tcW w:w="1275" w:type="dxa"/>
            <w:vAlign w:val="center"/>
          </w:tcPr>
          <w:p w:rsidR="00057994" w:rsidRPr="002C6ADA" w:rsidRDefault="00A42B17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9 112</w:t>
            </w:r>
          </w:p>
        </w:tc>
        <w:tc>
          <w:tcPr>
            <w:tcW w:w="1134" w:type="dxa"/>
            <w:vAlign w:val="center"/>
          </w:tcPr>
          <w:p w:rsidR="00057994" w:rsidRPr="002C6ADA" w:rsidRDefault="00A42B17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9 183</w:t>
            </w:r>
          </w:p>
        </w:tc>
        <w:tc>
          <w:tcPr>
            <w:tcW w:w="993" w:type="dxa"/>
            <w:vAlign w:val="center"/>
          </w:tcPr>
          <w:p w:rsidR="00057994" w:rsidRPr="002C6ADA" w:rsidRDefault="00BD6B54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155,8</w:t>
            </w:r>
          </w:p>
        </w:tc>
        <w:tc>
          <w:tcPr>
            <w:tcW w:w="992" w:type="dxa"/>
            <w:vAlign w:val="center"/>
          </w:tcPr>
          <w:p w:rsidR="00057994" w:rsidRPr="002C6ADA" w:rsidRDefault="002C6ADA" w:rsidP="002C6ADA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100,7</w:t>
            </w:r>
          </w:p>
        </w:tc>
        <w:tc>
          <w:tcPr>
            <w:tcW w:w="674" w:type="dxa"/>
            <w:vAlign w:val="center"/>
          </w:tcPr>
          <w:p w:rsidR="00057994" w:rsidRPr="00BD6B54" w:rsidRDefault="002C6ADA" w:rsidP="002C6ADA">
            <w:pPr>
              <w:tabs>
                <w:tab w:val="left" w:pos="77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196,6</w:t>
            </w:r>
          </w:p>
        </w:tc>
      </w:tr>
      <w:tr w:rsidR="00A50A42" w:rsidRPr="00BD6B54" w:rsidTr="002C6ADA">
        <w:tc>
          <w:tcPr>
            <w:tcW w:w="2235" w:type="dxa"/>
          </w:tcPr>
          <w:p w:rsidR="00A50A42" w:rsidRPr="002C6ADA" w:rsidRDefault="00A50A42" w:rsidP="00A50A42">
            <w:pPr>
              <w:tabs>
                <w:tab w:val="left" w:pos="7785"/>
              </w:tabs>
              <w:jc w:val="both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A50A42" w:rsidRPr="002C6ADA" w:rsidRDefault="00A42B17" w:rsidP="00A42B17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5 690</w:t>
            </w:r>
          </w:p>
        </w:tc>
        <w:tc>
          <w:tcPr>
            <w:tcW w:w="1134" w:type="dxa"/>
            <w:vAlign w:val="center"/>
          </w:tcPr>
          <w:p w:rsidR="00A50A42" w:rsidRPr="002C6ADA" w:rsidRDefault="008F63D9" w:rsidP="00A42B17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5 944</w:t>
            </w:r>
          </w:p>
        </w:tc>
        <w:tc>
          <w:tcPr>
            <w:tcW w:w="1275" w:type="dxa"/>
            <w:vAlign w:val="center"/>
          </w:tcPr>
          <w:p w:rsidR="00A50A42" w:rsidRPr="002C6ADA" w:rsidRDefault="00A42B17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5 944</w:t>
            </w:r>
          </w:p>
        </w:tc>
        <w:tc>
          <w:tcPr>
            <w:tcW w:w="1134" w:type="dxa"/>
            <w:vAlign w:val="center"/>
          </w:tcPr>
          <w:p w:rsidR="00A50A42" w:rsidRPr="002C6ADA" w:rsidRDefault="00A42B17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5 882</w:t>
            </w:r>
          </w:p>
        </w:tc>
        <w:tc>
          <w:tcPr>
            <w:tcW w:w="993" w:type="dxa"/>
            <w:vAlign w:val="center"/>
          </w:tcPr>
          <w:p w:rsidR="00A50A42" w:rsidRPr="002C6ADA" w:rsidRDefault="00BD6B54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99,0</w:t>
            </w:r>
          </w:p>
        </w:tc>
        <w:tc>
          <w:tcPr>
            <w:tcW w:w="992" w:type="dxa"/>
            <w:vAlign w:val="center"/>
          </w:tcPr>
          <w:p w:rsidR="00A50A42" w:rsidRPr="002C6ADA" w:rsidRDefault="002C6ADA" w:rsidP="002C6ADA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99,0</w:t>
            </w:r>
          </w:p>
        </w:tc>
        <w:tc>
          <w:tcPr>
            <w:tcW w:w="674" w:type="dxa"/>
            <w:vAlign w:val="center"/>
          </w:tcPr>
          <w:p w:rsidR="00A50A42" w:rsidRPr="00BD6B54" w:rsidRDefault="002C6ADA" w:rsidP="002C6ADA">
            <w:pPr>
              <w:tabs>
                <w:tab w:val="left" w:pos="77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</w:tr>
      <w:tr w:rsidR="00A50A42" w:rsidRPr="00BD6B54" w:rsidTr="002C6ADA">
        <w:tc>
          <w:tcPr>
            <w:tcW w:w="2235" w:type="dxa"/>
          </w:tcPr>
          <w:p w:rsidR="00A50A42" w:rsidRPr="002C6ADA" w:rsidRDefault="00A50A42" w:rsidP="00057994">
            <w:pPr>
              <w:tabs>
                <w:tab w:val="left" w:pos="7785"/>
              </w:tabs>
              <w:jc w:val="both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A50A42" w:rsidRPr="002C6ADA" w:rsidRDefault="00BD6B54" w:rsidP="00A42B17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722 982</w:t>
            </w:r>
          </w:p>
        </w:tc>
        <w:tc>
          <w:tcPr>
            <w:tcW w:w="1134" w:type="dxa"/>
            <w:vAlign w:val="center"/>
          </w:tcPr>
          <w:p w:rsidR="00A50A42" w:rsidRPr="002C6ADA" w:rsidRDefault="008F63D9" w:rsidP="00A42B17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722 976</w:t>
            </w:r>
          </w:p>
        </w:tc>
        <w:tc>
          <w:tcPr>
            <w:tcW w:w="1275" w:type="dxa"/>
            <w:vAlign w:val="center"/>
          </w:tcPr>
          <w:p w:rsidR="00A50A42" w:rsidRPr="002C6ADA" w:rsidRDefault="00BD6B54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914 660</w:t>
            </w:r>
          </w:p>
        </w:tc>
        <w:tc>
          <w:tcPr>
            <w:tcW w:w="1134" w:type="dxa"/>
            <w:vAlign w:val="center"/>
          </w:tcPr>
          <w:p w:rsidR="00A50A42" w:rsidRPr="002C6ADA" w:rsidRDefault="00BD6B54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908 760</w:t>
            </w:r>
          </w:p>
        </w:tc>
        <w:tc>
          <w:tcPr>
            <w:tcW w:w="993" w:type="dxa"/>
            <w:vAlign w:val="center"/>
          </w:tcPr>
          <w:p w:rsidR="00A50A42" w:rsidRPr="002C6ADA" w:rsidRDefault="00BD6B54" w:rsidP="00BD6B54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125,7</w:t>
            </w:r>
          </w:p>
        </w:tc>
        <w:tc>
          <w:tcPr>
            <w:tcW w:w="992" w:type="dxa"/>
            <w:vAlign w:val="center"/>
          </w:tcPr>
          <w:p w:rsidR="00A50A42" w:rsidRPr="002C6ADA" w:rsidRDefault="002C6ADA" w:rsidP="002C6ADA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99,4</w:t>
            </w:r>
          </w:p>
        </w:tc>
        <w:tc>
          <w:tcPr>
            <w:tcW w:w="674" w:type="dxa"/>
            <w:vAlign w:val="center"/>
          </w:tcPr>
          <w:p w:rsidR="00A50A42" w:rsidRPr="00BD6B54" w:rsidRDefault="002C6ADA" w:rsidP="002C6ADA">
            <w:pPr>
              <w:tabs>
                <w:tab w:val="left" w:pos="77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125,7</w:t>
            </w:r>
          </w:p>
        </w:tc>
      </w:tr>
    </w:tbl>
    <w:p w:rsidR="002178A2" w:rsidRDefault="002178A2" w:rsidP="005B0733">
      <w:pPr>
        <w:tabs>
          <w:tab w:val="left" w:pos="7785"/>
        </w:tabs>
        <w:jc w:val="both"/>
        <w:rPr>
          <w:sz w:val="18"/>
          <w:szCs w:val="18"/>
        </w:rPr>
      </w:pPr>
    </w:p>
    <w:p w:rsidR="002178A2" w:rsidRDefault="002178A2" w:rsidP="002178A2">
      <w:pPr>
        <w:rPr>
          <w:sz w:val="18"/>
          <w:szCs w:val="18"/>
        </w:rPr>
      </w:pPr>
    </w:p>
    <w:p w:rsidR="00901A05" w:rsidRPr="002178A2" w:rsidRDefault="004C108D" w:rsidP="00901A05">
      <w:pPr>
        <w:jc w:val="both"/>
      </w:pPr>
      <w:r>
        <w:tab/>
      </w:r>
      <w:r w:rsidR="002178A2">
        <w:t>Уточненные прогнозные показатели большей части</w:t>
      </w:r>
      <w:r w:rsidR="00C80601">
        <w:t xml:space="preserve"> видов доходов исполнены на 100%</w:t>
      </w:r>
      <w:r w:rsidR="002178A2">
        <w:t xml:space="preserve"> или перевыполнены</w:t>
      </w:r>
      <w:r w:rsidR="00C80601">
        <w:t>. Согласно отчету об исполнении бюджета ф. 0503117 доходы бюджета – на 01.01.2012г. исполнены в сумме 1 22</w:t>
      </w:r>
      <w:r w:rsidR="00557883">
        <w:t>9 739 рублей, что составило 100</w:t>
      </w:r>
      <w:r w:rsidR="00C80601">
        <w:t>% к уточненным бюджетным назначениям</w:t>
      </w:r>
      <w:r w:rsidR="00557883">
        <w:t>, принятых решением Думы от</w:t>
      </w:r>
      <w:r w:rsidR="00C80601">
        <w:t xml:space="preserve"> </w:t>
      </w:r>
      <w:r w:rsidR="004072DF">
        <w:t>27 декабря 2011</w:t>
      </w:r>
      <w:r w:rsidR="00557883">
        <w:t xml:space="preserve"> № 165</w:t>
      </w:r>
      <w:r w:rsidR="00790B1D">
        <w:t>.</w:t>
      </w:r>
      <w:r w:rsidR="00901A05" w:rsidRPr="00901A05">
        <w:t xml:space="preserve"> </w:t>
      </w:r>
      <w:r w:rsidR="00901A05">
        <w:t>По сравнению с аналогичным периодом прошлого года</w:t>
      </w:r>
      <w:r w:rsidR="00166823">
        <w:t>,</w:t>
      </w:r>
      <w:r w:rsidR="00901A05">
        <w:t xml:space="preserve"> доходы МО «Нижнеилимский район» выросли на</w:t>
      </w:r>
      <w:r w:rsidR="00557883">
        <w:t xml:space="preserve"> 236 982 тыс. рублей, или 23,8%.</w:t>
      </w:r>
    </w:p>
    <w:p w:rsidR="00557883" w:rsidRDefault="00790B1D" w:rsidP="00C80601">
      <w:pPr>
        <w:jc w:val="both"/>
      </w:pPr>
      <w:r>
        <w:t xml:space="preserve"> При этом,</w:t>
      </w:r>
      <w:r w:rsidR="004072DF">
        <w:t xml:space="preserve"> основную долю – 74 процента занимают безвозмездные поступления из бюджетов других уровней. Налоговые доходы составляют 21% в общей сумме поступлений в местный бюджет, на доходы от использования муниципального имущества приходится лишь 3,9 процентов.</w:t>
      </w:r>
    </w:p>
    <w:p w:rsidR="0002052F" w:rsidRDefault="0066043C" w:rsidP="00C80601">
      <w:pPr>
        <w:jc w:val="both"/>
      </w:pPr>
      <w:r>
        <w:tab/>
      </w:r>
      <w:r w:rsidR="00BD61D8">
        <w:t>В составе безвозмездных поступлений</w:t>
      </w:r>
      <w:r w:rsidR="003E777A">
        <w:t xml:space="preserve"> 124 273 тыс. рублей занимают нецелевые средства (дотация на выравнивание бюджетной обеспеченности и на поддержку мер по обеспечению сбалансированности местных бюджетов, а также межбюджетные </w:t>
      </w:r>
      <w:r w:rsidR="005464B5">
        <w:lastRenderedPageBreak/>
        <w:t>трансферты</w:t>
      </w:r>
      <w:r w:rsidR="003E777A">
        <w:t xml:space="preserve"> в целях финансовой поддержки муниципальных образований, осуществляющих эффективное управление бюджетными средствами).</w:t>
      </w:r>
    </w:p>
    <w:p w:rsidR="0002052F" w:rsidRDefault="004C108D" w:rsidP="00C80601">
      <w:pPr>
        <w:jc w:val="both"/>
      </w:pPr>
      <w:r>
        <w:tab/>
      </w:r>
      <w:r w:rsidR="0002052F">
        <w:t xml:space="preserve">В течение 2011 года и по его итогам, в бюджет района из областного бюджета Иркутской области поступили трансферты за эффективное управление бюджетными средствами в сумме </w:t>
      </w:r>
      <w:r w:rsidR="00F8285B">
        <w:t>18 711 тыс. руб., что позволило увеличить доходы и, соответственно, расходы районного бюджета 2011 года, а также снизить дефицит бюджета МО «Нижнеилимский район».</w:t>
      </w:r>
      <w:r w:rsidR="0002052F">
        <w:t xml:space="preserve"> </w:t>
      </w:r>
      <w:r w:rsidR="00F8285B">
        <w:t>(справочно к заключению внешней проверки исполнения бюджета Нижнеилимского муниципального района за 2011г. прилагается Приложение 26 к Закону Иркутской области «Об областном бюджете на 2011 год</w:t>
      </w:r>
      <w:r w:rsidR="006B29F2">
        <w:t>»).</w:t>
      </w:r>
    </w:p>
    <w:p w:rsidR="00BD61D8" w:rsidRDefault="005464B5" w:rsidP="00C80601">
      <w:pPr>
        <w:jc w:val="both"/>
      </w:pPr>
      <w:r>
        <w:t xml:space="preserve"> </w:t>
      </w:r>
      <w:r w:rsidR="00166823">
        <w:tab/>
      </w:r>
      <w:r>
        <w:t>Субсидии,</w:t>
      </w:r>
      <w:r w:rsidR="003E777A">
        <w:t xml:space="preserve"> предусмотренные для му</w:t>
      </w:r>
      <w:r>
        <w:t xml:space="preserve">ниципального образования Нижнеилимский район Законом Иркутской области от 09.12.2011 № 128-оз </w:t>
      </w:r>
      <w:r w:rsidR="00A82C63">
        <w:t>«Об областном бюджете на 2011 год поступили в объеме 343 837 тыс. рублей, или 100% от плановых назначений, субвенции – в сумме 368 270</w:t>
      </w:r>
      <w:r w:rsidR="003E777A">
        <w:t xml:space="preserve"> </w:t>
      </w:r>
      <w:r w:rsidR="006C4A2E">
        <w:t>тыс. рублей или 99</w:t>
      </w:r>
      <w:r w:rsidR="00A82C63">
        <w:t xml:space="preserve"> процентов.</w:t>
      </w:r>
    </w:p>
    <w:p w:rsidR="00823B81" w:rsidRDefault="00063414" w:rsidP="00C80601">
      <w:pPr>
        <w:jc w:val="both"/>
        <w:rPr>
          <w:i/>
        </w:rPr>
      </w:pPr>
      <w:r>
        <w:rPr>
          <w:i/>
        </w:rPr>
        <w:tab/>
      </w:r>
      <w:r w:rsidR="00A82C63" w:rsidRPr="00E724EC">
        <w:rPr>
          <w:i/>
        </w:rPr>
        <w:t xml:space="preserve">В ходе </w:t>
      </w:r>
      <w:r w:rsidR="009E1D23">
        <w:rPr>
          <w:i/>
        </w:rPr>
        <w:t xml:space="preserve"> контрольной </w:t>
      </w:r>
      <w:r w:rsidR="00A82C63" w:rsidRPr="00E724EC">
        <w:rPr>
          <w:i/>
        </w:rPr>
        <w:t>проверки</w:t>
      </w:r>
      <w:r w:rsidR="00AD1827" w:rsidRPr="00E724EC">
        <w:rPr>
          <w:i/>
        </w:rPr>
        <w:t xml:space="preserve"> исполнения</w:t>
      </w:r>
      <w:r w:rsidR="009E1D23">
        <w:rPr>
          <w:i/>
        </w:rPr>
        <w:t xml:space="preserve"> доходной части</w:t>
      </w:r>
      <w:r w:rsidR="00AD1827" w:rsidRPr="00E724EC">
        <w:rPr>
          <w:i/>
        </w:rPr>
        <w:t xml:space="preserve"> </w:t>
      </w:r>
      <w:r w:rsidR="00FB442F" w:rsidRPr="00E724EC">
        <w:rPr>
          <w:i/>
        </w:rPr>
        <w:t xml:space="preserve">районного </w:t>
      </w:r>
      <w:r w:rsidR="009E1D23">
        <w:rPr>
          <w:i/>
        </w:rPr>
        <w:t>бюджета,  межбюджетные трансферты</w:t>
      </w:r>
      <w:r w:rsidR="00FB442F" w:rsidRPr="00E724EC">
        <w:rPr>
          <w:i/>
        </w:rPr>
        <w:t xml:space="preserve"> из о</w:t>
      </w:r>
      <w:r w:rsidR="00AD1827" w:rsidRPr="00E724EC">
        <w:rPr>
          <w:i/>
        </w:rPr>
        <w:t xml:space="preserve">бластного бюджета </w:t>
      </w:r>
      <w:r w:rsidR="00593385" w:rsidRPr="00E724EC">
        <w:rPr>
          <w:i/>
        </w:rPr>
        <w:t xml:space="preserve"> по обеспечению сбалансированности местных бюджетов</w:t>
      </w:r>
      <w:r w:rsidR="00FB442F" w:rsidRPr="00E724EC">
        <w:rPr>
          <w:i/>
        </w:rPr>
        <w:t>,</w:t>
      </w:r>
      <w:r w:rsidR="009E1D23">
        <w:rPr>
          <w:i/>
        </w:rPr>
        <w:t xml:space="preserve"> составили</w:t>
      </w:r>
      <w:r w:rsidR="00955E74" w:rsidRPr="00E724EC">
        <w:rPr>
          <w:i/>
        </w:rPr>
        <w:t xml:space="preserve"> 47 748 тыс.</w:t>
      </w:r>
      <w:r w:rsidR="006E3DD2" w:rsidRPr="00E724EC">
        <w:rPr>
          <w:i/>
        </w:rPr>
        <w:t xml:space="preserve"> </w:t>
      </w:r>
      <w:r w:rsidR="00955E74" w:rsidRPr="00E724EC">
        <w:rPr>
          <w:i/>
        </w:rPr>
        <w:t>руб.</w:t>
      </w:r>
      <w:r w:rsidR="00823B81">
        <w:rPr>
          <w:i/>
        </w:rPr>
        <w:t>, размер которых сложился из МБТ за эффективное управление бюджетными средствами в сумме 18 711 тыс</w:t>
      </w:r>
      <w:r w:rsidR="008C24EB">
        <w:rPr>
          <w:i/>
        </w:rPr>
        <w:t xml:space="preserve"> </w:t>
      </w:r>
      <w:r w:rsidR="00823B81">
        <w:rPr>
          <w:i/>
        </w:rPr>
        <w:t>.руб.</w:t>
      </w:r>
      <w:r w:rsidR="00593385" w:rsidRPr="00E724EC">
        <w:rPr>
          <w:i/>
        </w:rPr>
        <w:t xml:space="preserve"> </w:t>
      </w:r>
      <w:r w:rsidR="00823B81">
        <w:rPr>
          <w:i/>
        </w:rPr>
        <w:t>с</w:t>
      </w:r>
      <w:r w:rsidR="009E1D23">
        <w:rPr>
          <w:i/>
        </w:rPr>
        <w:t>огласно</w:t>
      </w:r>
      <w:r w:rsidR="00823B81">
        <w:rPr>
          <w:i/>
        </w:rPr>
        <w:t xml:space="preserve"> Закона Иркутской области</w:t>
      </w:r>
      <w:r w:rsidR="009E1D23">
        <w:rPr>
          <w:i/>
        </w:rPr>
        <w:t xml:space="preserve"> от 09.12.2011 № 128-оз</w:t>
      </w:r>
      <w:r w:rsidR="002316F3" w:rsidRPr="00E724EC">
        <w:rPr>
          <w:i/>
        </w:rPr>
        <w:t xml:space="preserve"> </w:t>
      </w:r>
      <w:r w:rsidR="00FB442F" w:rsidRPr="00E724EC">
        <w:rPr>
          <w:i/>
        </w:rPr>
        <w:t>«Об областном бюджете на 2011 год»</w:t>
      </w:r>
      <w:r w:rsidR="00B476FA" w:rsidRPr="00E724EC">
        <w:rPr>
          <w:i/>
        </w:rPr>
        <w:t xml:space="preserve"> </w:t>
      </w:r>
      <w:r w:rsidR="00823B81">
        <w:rPr>
          <w:i/>
        </w:rPr>
        <w:t>и размера</w:t>
      </w:r>
      <w:r w:rsidR="00B476FA" w:rsidRPr="00E724EC">
        <w:rPr>
          <w:i/>
        </w:rPr>
        <w:t xml:space="preserve"> иных </w:t>
      </w:r>
      <w:r w:rsidR="00FB442F" w:rsidRPr="00E724EC">
        <w:rPr>
          <w:i/>
        </w:rPr>
        <w:t>МБТ</w:t>
      </w:r>
      <w:r w:rsidR="009E1D23">
        <w:rPr>
          <w:i/>
        </w:rPr>
        <w:t>,</w:t>
      </w:r>
      <w:r w:rsidR="00FB442F" w:rsidRPr="00E724EC">
        <w:rPr>
          <w:i/>
        </w:rPr>
        <w:t xml:space="preserve"> предоставленных местным бюджетам за счет средств областного бюджета на поддержку</w:t>
      </w:r>
      <w:r w:rsidR="00823B81">
        <w:rPr>
          <w:i/>
        </w:rPr>
        <w:t xml:space="preserve"> </w:t>
      </w:r>
      <w:r w:rsidR="00FB442F" w:rsidRPr="00E724EC">
        <w:rPr>
          <w:i/>
        </w:rPr>
        <w:t>мер по обеспечению сбал</w:t>
      </w:r>
      <w:r w:rsidR="00823B81">
        <w:rPr>
          <w:i/>
        </w:rPr>
        <w:t>ансированности местных бюджетов</w:t>
      </w:r>
      <w:r w:rsidR="00FB442F" w:rsidRPr="00E724EC">
        <w:rPr>
          <w:i/>
        </w:rPr>
        <w:t xml:space="preserve"> </w:t>
      </w:r>
      <w:r w:rsidR="00823B81">
        <w:rPr>
          <w:i/>
        </w:rPr>
        <w:t>в</w:t>
      </w:r>
      <w:r w:rsidR="002316F3" w:rsidRPr="00E724EC">
        <w:rPr>
          <w:i/>
        </w:rPr>
        <w:t xml:space="preserve"> </w:t>
      </w:r>
      <w:r w:rsidR="00823B81">
        <w:rPr>
          <w:i/>
        </w:rPr>
        <w:t xml:space="preserve">сумме </w:t>
      </w:r>
      <w:r w:rsidR="009E1D23">
        <w:rPr>
          <w:i/>
        </w:rPr>
        <w:t xml:space="preserve"> </w:t>
      </w:r>
      <w:r w:rsidR="00593385" w:rsidRPr="00E724EC">
        <w:rPr>
          <w:i/>
        </w:rPr>
        <w:t>21 </w:t>
      </w:r>
      <w:r w:rsidR="006E3DD2" w:rsidRPr="00E724EC">
        <w:rPr>
          <w:i/>
        </w:rPr>
        <w:t>736</w:t>
      </w:r>
      <w:r w:rsidR="00593385" w:rsidRPr="00E724EC">
        <w:rPr>
          <w:i/>
        </w:rPr>
        <w:t xml:space="preserve"> тыс.</w:t>
      </w:r>
      <w:r w:rsidR="006E3DD2" w:rsidRPr="00E724EC">
        <w:rPr>
          <w:i/>
        </w:rPr>
        <w:t xml:space="preserve"> </w:t>
      </w:r>
      <w:r w:rsidR="00593385" w:rsidRPr="00E724EC">
        <w:rPr>
          <w:i/>
        </w:rPr>
        <w:t>рублей</w:t>
      </w:r>
      <w:r w:rsidR="006E3DD2" w:rsidRPr="00E724EC">
        <w:rPr>
          <w:i/>
        </w:rPr>
        <w:t>.</w:t>
      </w:r>
      <w:r w:rsidR="00823B81">
        <w:rPr>
          <w:i/>
        </w:rPr>
        <w:t xml:space="preserve"> </w:t>
      </w:r>
    </w:p>
    <w:p w:rsidR="006604A5" w:rsidRDefault="0066043C" w:rsidP="00C80601">
      <w:pPr>
        <w:jc w:val="both"/>
      </w:pPr>
      <w:r>
        <w:tab/>
        <w:t>Т</w:t>
      </w:r>
      <w:r w:rsidR="008C24EB">
        <w:t>аким обра</w:t>
      </w:r>
      <w:r w:rsidR="006604A5">
        <w:t>зом,</w:t>
      </w:r>
      <w:r w:rsidR="00506B98">
        <w:t xml:space="preserve"> в связи с несоответствием числовых значений по размеру МБТ,</w:t>
      </w:r>
      <w:r w:rsidR="006604A5">
        <w:t xml:space="preserve"> следует</w:t>
      </w:r>
      <w:r w:rsidR="008C24EB">
        <w:t xml:space="preserve"> пояснить, какие средства </w:t>
      </w:r>
      <w:r w:rsidR="00506B98">
        <w:t>по межбюджетным тра</w:t>
      </w:r>
      <w:r w:rsidR="00FE5F9F">
        <w:t>н</w:t>
      </w:r>
      <w:r w:rsidR="00506B98">
        <w:t>сфертам</w:t>
      </w:r>
      <w:r w:rsidR="008C24EB">
        <w:t xml:space="preserve"> из Об</w:t>
      </w:r>
      <w:r w:rsidR="00506B98">
        <w:t xml:space="preserve">ластного бюджета составили </w:t>
      </w:r>
      <w:r w:rsidR="008C24EB">
        <w:t xml:space="preserve"> </w:t>
      </w:r>
      <w:r w:rsidR="00506B98">
        <w:t>дотации</w:t>
      </w:r>
      <w:r w:rsidR="006604A5">
        <w:t xml:space="preserve"> ра</w:t>
      </w:r>
      <w:r w:rsidR="00506B98">
        <w:t xml:space="preserve">йонного бюджета </w:t>
      </w:r>
      <w:r w:rsidR="006604A5">
        <w:t xml:space="preserve">на поддержку мер по сбалансированности местных бюджетов </w:t>
      </w:r>
      <w:r w:rsidR="00506B98">
        <w:t xml:space="preserve">в сумме </w:t>
      </w:r>
      <w:r w:rsidR="008C24EB">
        <w:t xml:space="preserve">47 748 тыс. </w:t>
      </w:r>
      <w:r w:rsidR="006604A5">
        <w:t xml:space="preserve">руб. </w:t>
      </w:r>
      <w:r w:rsidR="008C24EB">
        <w:t>(18</w:t>
      </w:r>
      <w:r w:rsidR="00E877F9">
        <w:t xml:space="preserve"> 711тыс. руб. + 21 736 тыс. руб. </w:t>
      </w:r>
      <w:r w:rsidR="008C24EB">
        <w:t>= 40 447 тыс.руб.)</w:t>
      </w:r>
      <w:r w:rsidR="00063414">
        <w:tab/>
      </w:r>
    </w:p>
    <w:p w:rsidR="005B0733" w:rsidRDefault="006604A5" w:rsidP="00C80601">
      <w:pPr>
        <w:jc w:val="both"/>
      </w:pPr>
      <w:r>
        <w:tab/>
      </w:r>
      <w:r w:rsidR="00557883">
        <w:t xml:space="preserve">В составе безвозмездных поступлений района и расходной части бюджета </w:t>
      </w:r>
      <w:r w:rsidR="00557883" w:rsidRPr="00557883">
        <w:rPr>
          <w:i/>
        </w:rPr>
        <w:t xml:space="preserve">иные межбюджетные трансферты от поселений </w:t>
      </w:r>
      <w:r w:rsidR="00557883" w:rsidRPr="006604A5">
        <w:t>отражены</w:t>
      </w:r>
      <w:r w:rsidR="00557883">
        <w:rPr>
          <w:i/>
        </w:rPr>
        <w:t xml:space="preserve"> </w:t>
      </w:r>
      <w:r w:rsidR="00557883" w:rsidRPr="004A4B5A">
        <w:t>в сумме</w:t>
      </w:r>
      <w:r w:rsidR="00BD2049">
        <w:t xml:space="preserve"> 33 257 492 38</w:t>
      </w:r>
      <w:r w:rsidR="004072DF" w:rsidRPr="004A4B5A">
        <w:t xml:space="preserve"> </w:t>
      </w:r>
      <w:r w:rsidR="004A4B5A">
        <w:t>рублей</w:t>
      </w:r>
      <w:r>
        <w:t>.</w:t>
      </w:r>
    </w:p>
    <w:p w:rsidR="008C24EB" w:rsidRDefault="006604A5" w:rsidP="00C80601">
      <w:pPr>
        <w:jc w:val="both"/>
      </w:pPr>
      <w:r>
        <w:tab/>
      </w:r>
      <w:r w:rsidR="006C4A2E">
        <w:t>В бюджет района в не полном объеме поступили доходы из областного бюджета в основном по субвенциям на осуществление государственных полномочий и полномочий по подготовке и проведению Всероссийской переписи населения 2011 года.</w:t>
      </w:r>
    </w:p>
    <w:p w:rsidR="00B00F97" w:rsidRDefault="004C108D" w:rsidP="00A700A6">
      <w:pPr>
        <w:jc w:val="both"/>
      </w:pPr>
      <w:r>
        <w:tab/>
      </w:r>
      <w:r w:rsidR="00E82271">
        <w:t>В соответствии с проектом решения Думы Нижнеилимского муниципального района «Об утверждении отчета об исполнении бюджета муниципального образования «Нижнеилимский район» за 2011 год» поступление доходов от перечисления части прибыли государственных и муниципальных унитарных предприятий, оставшихся после уплаты налогов и обязательных</w:t>
      </w:r>
      <w:r w:rsidR="00DC2A87">
        <w:t xml:space="preserve"> платежей за 2010 год составила 48 141 рублей. Так,</w:t>
      </w:r>
      <w:r w:rsidR="007D67D4">
        <w:t xml:space="preserve"> </w:t>
      </w:r>
      <w:r w:rsidR="00197087">
        <w:t>согласно информации ДУМИ  от 16.04.</w:t>
      </w:r>
      <w:r w:rsidR="007D67D4">
        <w:t>2012 № 233/11 представлен про</w:t>
      </w:r>
      <w:r w:rsidR="00EF6F88">
        <w:t xml:space="preserve">токол </w:t>
      </w:r>
      <w:r w:rsidR="007D67D4">
        <w:t>заседания балансовой комиссии</w:t>
      </w:r>
      <w:r w:rsidR="00EF6F88">
        <w:t xml:space="preserve"> от 31.10.2011года</w:t>
      </w:r>
      <w:r w:rsidR="007D67D4">
        <w:t xml:space="preserve"> по проведению анализа финансово-хозяйственной деятельности </w:t>
      </w:r>
      <w:r w:rsidR="00EF6F88">
        <w:t xml:space="preserve">двух </w:t>
      </w:r>
      <w:r w:rsidR="007D67D4">
        <w:t>муниципальных унитарных предприят</w:t>
      </w:r>
      <w:r w:rsidR="00EF6F88">
        <w:t>ий, на которой</w:t>
      </w:r>
      <w:r w:rsidR="007D67D4">
        <w:t xml:space="preserve"> рассмотрены итоги работы МУПов за 2010 год и 9 месяцев 2011 года</w:t>
      </w:r>
      <w:r w:rsidR="00EF6F88">
        <w:t>. Решением комиссии работа МУП «УК Коммунальные услуги»</w:t>
      </w:r>
      <w:r w:rsidR="0053110D">
        <w:t xml:space="preserve"> </w:t>
      </w:r>
      <w:r w:rsidR="00EF6F88">
        <w:t>- руководитель Соколова Г.И. и МУП «СОПР» руководитель Ужакин Д.И.</w:t>
      </w:r>
      <w:r w:rsidR="0053110D">
        <w:t xml:space="preserve"> </w:t>
      </w:r>
      <w:r w:rsidR="00EF6F88">
        <w:t>за 2010 год признана удовлетворительной</w:t>
      </w:r>
      <w:r w:rsidR="0053110D">
        <w:t>, п.6 решения комиссии предложено МУП «СОПР» рук. Ужакин Д.И. до 10 декабря 2011 года перечислить в бюджет сумму от прибыли, полученной по итогам работы за 2010 год.</w:t>
      </w:r>
      <w:r w:rsidR="00DB1EA5">
        <w:t xml:space="preserve"> Данное решение балансовой комиссии МУП «СОПР» не было выполн</w:t>
      </w:r>
      <w:r w:rsidR="0017246A">
        <w:t>ено. По итогам финансово-хозяйственной деятельности за отчетный период 2010 года МУП «УК Коммунальные услуги», как свидетельствуют материалы балансовой комиссии получила прибыл</w:t>
      </w:r>
      <w:r w:rsidR="00BD3E1E">
        <w:t>ь</w:t>
      </w:r>
      <w:r w:rsidR="0017246A">
        <w:t xml:space="preserve"> в размере 2 064 тыс. рублей, </w:t>
      </w:r>
      <w:r w:rsidR="00BD3E1E">
        <w:t>вследствие</w:t>
      </w:r>
      <w:r w:rsidR="0017246A">
        <w:t xml:space="preserve"> чего в доходную часть бюджета должна была перечислена сумма части прибыли в размере 25%</w:t>
      </w:r>
      <w:r w:rsidR="00BD3E1E">
        <w:t xml:space="preserve"> или 516,15тыс. руб. В бюджет района в 2011 году по итогам работы предприятия за 2010 год перечислена сумма в размере 48 151 руб.,</w:t>
      </w:r>
      <w:r w:rsidR="00E13B0C">
        <w:t xml:space="preserve"> платежным</w:t>
      </w:r>
      <w:r w:rsidR="00BD3E1E">
        <w:t xml:space="preserve"> поручение</w:t>
      </w:r>
      <w:r w:rsidR="00E13B0C">
        <w:t>м</w:t>
      </w:r>
      <w:r w:rsidR="00BD3E1E">
        <w:t xml:space="preserve"> от 07.04.2011 №180.</w:t>
      </w:r>
      <w:r w:rsidR="0053110D">
        <w:t xml:space="preserve"> Таким образом, </w:t>
      </w:r>
      <w:r w:rsidR="00A700A6">
        <w:t xml:space="preserve">данные факты </w:t>
      </w:r>
      <w:r w:rsidR="00A700A6">
        <w:lastRenderedPageBreak/>
        <w:t>свидетельствуют о ненадлежащем контроле</w:t>
      </w:r>
      <w:r w:rsidR="00A700A6" w:rsidRPr="00A700A6">
        <w:t xml:space="preserve"> </w:t>
      </w:r>
      <w:r w:rsidR="00A700A6">
        <w:t>Финансового управления администрации Нижнеилимского муниципального района з</w:t>
      </w:r>
      <w:r w:rsidR="0053110D">
        <w:t>а</w:t>
      </w:r>
      <w:r w:rsidR="00A700A6">
        <w:t xml:space="preserve"> правильностью исчисления части прибыли и своевременности уплаты платежей муниципальными унитарными предприятиями в бюджет района, предусмотренном </w:t>
      </w:r>
      <w:r w:rsidR="00DB1EA5">
        <w:t xml:space="preserve">п.8 </w:t>
      </w:r>
      <w:r w:rsidR="0053110D">
        <w:t>«Положения о порядке, размерах и сроках перечисления части прибыли муниципальными унитарными предприятиями в бюджет муниципального образования «Нижнеилимский район</w:t>
      </w:r>
      <w:r w:rsidR="00A700A6">
        <w:t>»  от 29.01.2009г№ 414.</w:t>
      </w:r>
    </w:p>
    <w:p w:rsidR="0002052F" w:rsidRDefault="0002052F" w:rsidP="00A700A6">
      <w:pPr>
        <w:jc w:val="both"/>
      </w:pPr>
    </w:p>
    <w:p w:rsidR="006B29F2" w:rsidRPr="004C108D" w:rsidRDefault="004C108D" w:rsidP="006B29F2">
      <w:pPr>
        <w:jc w:val="center"/>
        <w:rPr>
          <w:b/>
        </w:rPr>
      </w:pPr>
      <w:r>
        <w:rPr>
          <w:b/>
        </w:rPr>
        <w:t>Исполнение расходной части бюджета</w:t>
      </w:r>
    </w:p>
    <w:p w:rsidR="00CF6DF8" w:rsidRDefault="00CF6DF8" w:rsidP="006B29F2">
      <w:pPr>
        <w:jc w:val="center"/>
      </w:pPr>
    </w:p>
    <w:p w:rsidR="00930686" w:rsidRDefault="00862121" w:rsidP="00940AB7">
      <w:pPr>
        <w:jc w:val="both"/>
      </w:pPr>
      <w:r>
        <w:tab/>
      </w:r>
      <w:r w:rsidR="00FD4C80">
        <w:t>Исполнение расходной части бюджета МО «Нижнеилимский район»</w:t>
      </w:r>
      <w:r w:rsidR="001A12F6">
        <w:t xml:space="preserve"> составила</w:t>
      </w:r>
      <w:r w:rsidR="00FD4C80">
        <w:t xml:space="preserve"> 99 процентов к годовым плановым назначениям. В</w:t>
      </w:r>
      <w:r w:rsidR="001A12F6">
        <w:t xml:space="preserve"> соответствии с </w:t>
      </w:r>
      <w:r w:rsidR="00FD4C80">
        <w:t>решение</w:t>
      </w:r>
      <w:r w:rsidR="001A12F6">
        <w:t>м</w:t>
      </w:r>
      <w:r w:rsidR="00FD4C80">
        <w:t xml:space="preserve"> Думы Нижнеилимского муниципального района от 27.12.</w:t>
      </w:r>
      <w:r w:rsidR="001A12F6">
        <w:t xml:space="preserve">2011 № 165  расходы  </w:t>
      </w:r>
      <w:r w:rsidR="00FD4C80">
        <w:t xml:space="preserve"> бюджета</w:t>
      </w:r>
      <w:r w:rsidR="001A12F6">
        <w:t xml:space="preserve"> утверждены в сумме 1 235 059 тыс. рублей</w:t>
      </w:r>
      <w:r w:rsidR="00CF6DF8">
        <w:t xml:space="preserve">. На основании утвержденного бюджета была сформирована </w:t>
      </w:r>
      <w:r w:rsidR="00B46827">
        <w:t xml:space="preserve">уточненная </w:t>
      </w:r>
      <w:r w:rsidR="00CF6DF8">
        <w:t>сводная бюджетная роспись</w:t>
      </w:r>
      <w:r w:rsidR="001A12F6">
        <w:t xml:space="preserve"> </w:t>
      </w:r>
      <w:r w:rsidR="00CF6DF8">
        <w:t>бюджета муниципального образования «Нижнеилимский район»</w:t>
      </w:r>
      <w:r w:rsidR="00B46827">
        <w:t>, утвержденная Приказом</w:t>
      </w:r>
      <w:r w:rsidR="00CF6DF8">
        <w:t xml:space="preserve"> Финансового управления администрации Нижнеилимского муниципального района от 27 декабря 2011 №</w:t>
      </w:r>
      <w:r w:rsidR="00B46827">
        <w:t xml:space="preserve"> 31-</w:t>
      </w:r>
      <w:r w:rsidR="00CF6DF8">
        <w:t>од</w:t>
      </w:r>
      <w:r w:rsidR="00B46827">
        <w:t>, согласно которого роспись расходов бюджета района на 2011 год утверждена в размере 1 235 059 тыс. рублей.</w:t>
      </w:r>
      <w:r w:rsidR="00217FF5">
        <w:t xml:space="preserve"> В ходе исполнения бюджета</w:t>
      </w:r>
      <w:r w:rsidR="00930686">
        <w:t xml:space="preserve"> в</w:t>
      </w:r>
      <w:r w:rsidR="00B46827">
        <w:t xml:space="preserve"> сводную бюджетную роспись Приказом Финансового управления администрации Ннижнеилимского района от 29.12.2011 № 33-од были внесены изменения</w:t>
      </w:r>
      <w:r w:rsidR="00217FF5">
        <w:t xml:space="preserve"> в разделах по кодам КОСГУ в соответствии со ст. 217 БК РФ</w:t>
      </w:r>
      <w:r w:rsidR="00930686">
        <w:t xml:space="preserve"> без внесения изменений  в решение о бюджете на 2011 год.</w:t>
      </w:r>
    </w:p>
    <w:p w:rsidR="0009781C" w:rsidRDefault="00930686" w:rsidP="00940AB7">
      <w:pPr>
        <w:jc w:val="both"/>
      </w:pPr>
      <w:r>
        <w:t>При сравнении показателей плановых назначений на 2011 год, утвержденных решением Думы Нижнеилимского муниципального района от 27.12.2011 №</w:t>
      </w:r>
      <w:r w:rsidR="00FD4C80">
        <w:t xml:space="preserve"> </w:t>
      </w:r>
      <w:r>
        <w:t>165 (с учетом изменений, внесенных Приказами Финансового управления), показателей отчета об исполнении бюджета ф.0503117 и показателей, представленных в пояснительной записке к проекту решения районной Думы «Об утверждении отчета об исполнении бюджета МО «Нижнеилимский район»</w:t>
      </w:r>
      <w:r w:rsidR="000F676D">
        <w:t xml:space="preserve"> за 2011 год», определено, что итоговые показатели в разрезе </w:t>
      </w:r>
    </w:p>
    <w:p w:rsidR="00940AB7" w:rsidRDefault="000F676D" w:rsidP="00940AB7">
      <w:pPr>
        <w:jc w:val="both"/>
      </w:pPr>
      <w:r>
        <w:t>разделов и подразделов соответствуют друг другу.</w:t>
      </w:r>
    </w:p>
    <w:p w:rsidR="005645F3" w:rsidRDefault="00B81F6A" w:rsidP="00940AB7">
      <w:pPr>
        <w:jc w:val="both"/>
      </w:pPr>
      <w:r>
        <w:tab/>
      </w:r>
      <w:r w:rsidR="0009781C">
        <w:t>Из анализа нижеприведенной диаграммы установлено, что наибольшую часть расходов районного бюджета за 2011 год занимают расходы на образование -58%</w:t>
      </w:r>
      <w:r w:rsidR="0066043C">
        <w:t xml:space="preserve"> </w:t>
      </w:r>
      <w:r w:rsidR="0009781C">
        <w:t>(712 419 тыс.</w:t>
      </w:r>
      <w:r w:rsidR="005645F3">
        <w:t xml:space="preserve"> </w:t>
      </w:r>
      <w:r w:rsidR="0009781C">
        <w:t>руб.)</w:t>
      </w:r>
      <w:r w:rsidR="005645F3">
        <w:t>, затем на здравоохранение, физическую культуру и спорт -18% (223 939 тыс. рублей), по 4% удельного веса расходов приходится на культуру и социальную политику, 8% занимают расходы на общегосударственные вопросы.</w:t>
      </w:r>
    </w:p>
    <w:p w:rsidR="0009781C" w:rsidRDefault="005645F3" w:rsidP="00940AB7">
      <w:pPr>
        <w:jc w:val="both"/>
      </w:pPr>
      <w:r>
        <w:t>Наименьшая доля бюджетных средств приходится на национальную безопасность и правоохранительную деятельность</w:t>
      </w:r>
      <w:r w:rsidR="00D75BF4">
        <w:t xml:space="preserve"> и на национальную экономику по 1%, соответственно 11 501 тыс.руб. и 13 779 тыс.руб.</w:t>
      </w:r>
      <w:r>
        <w:t xml:space="preserve"> </w:t>
      </w:r>
    </w:p>
    <w:p w:rsidR="0009781C" w:rsidRDefault="0009781C" w:rsidP="00940AB7">
      <w:pPr>
        <w:jc w:val="both"/>
      </w:pPr>
    </w:p>
    <w:p w:rsidR="0009781C" w:rsidRDefault="0009781C" w:rsidP="00940AB7">
      <w:pPr>
        <w:jc w:val="both"/>
      </w:pPr>
    </w:p>
    <w:p w:rsidR="00ED25BA" w:rsidRDefault="00ED25BA" w:rsidP="00E724EC">
      <w:pPr>
        <w:jc w:val="both"/>
      </w:pPr>
    </w:p>
    <w:p w:rsidR="00E724EC" w:rsidRDefault="00C460E7" w:rsidP="00E724EC">
      <w:pPr>
        <w:jc w:val="both"/>
      </w:pPr>
      <w:r>
        <w:rPr>
          <w:noProof/>
        </w:rPr>
        <w:lastRenderedPageBreak/>
        <w:drawing>
          <wp:inline distT="0" distB="0" distL="0" distR="0">
            <wp:extent cx="5716979" cy="3434316"/>
            <wp:effectExtent l="19050" t="0" r="1707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108D" w:rsidRDefault="004C108D" w:rsidP="004C108D">
      <w:pPr>
        <w:jc w:val="right"/>
      </w:pPr>
    </w:p>
    <w:p w:rsidR="00ED25BA" w:rsidRDefault="00ED25BA" w:rsidP="004C108D">
      <w:pPr>
        <w:jc w:val="right"/>
      </w:pPr>
    </w:p>
    <w:p w:rsidR="00ED25BA" w:rsidRDefault="00ED25BA" w:rsidP="004C108D">
      <w:pPr>
        <w:jc w:val="right"/>
      </w:pPr>
    </w:p>
    <w:p w:rsidR="004F4BD0" w:rsidRDefault="007D1993" w:rsidP="004F4BD0">
      <w:pPr>
        <w:jc w:val="both"/>
      </w:pPr>
      <w:r>
        <w:tab/>
      </w:r>
      <w:r w:rsidR="004F4BD0" w:rsidRPr="00F41F5E">
        <w:rPr>
          <w:b/>
          <w:i/>
        </w:rPr>
        <w:t>По подразделу 0104  «Функционирование местных администраций»</w:t>
      </w:r>
      <w:r w:rsidR="004F4BD0">
        <w:t xml:space="preserve"> бюджетные ассигнования исполнены в сумме 51 742 тыс.</w:t>
      </w:r>
      <w:r w:rsidR="005E419D">
        <w:t xml:space="preserve"> </w:t>
      </w:r>
      <w:r w:rsidR="004F4BD0">
        <w:t>рублей, или на 98% к плановым назначениям. Большую часть расходов по данному подразделу составили расходы на оплату труда с начислениями на нее</w:t>
      </w:r>
      <w:r w:rsidR="005E419D">
        <w:t xml:space="preserve"> </w:t>
      </w:r>
      <w:r w:rsidR="004F4BD0">
        <w:t>- 38 155 тыс. руб., или 73,7 процента. В соответствии</w:t>
      </w:r>
      <w:r w:rsidR="00C664F5">
        <w:t xml:space="preserve"> </w:t>
      </w:r>
      <w:r w:rsidR="004F4BD0">
        <w:t>с методическими рекомендациями по определени</w:t>
      </w:r>
      <w:r w:rsidR="00C664F5">
        <w:t>ю численности работников местной  администрации в Иркутской области, утвержденным приказом министерства экономического развития, труда, науки и выс</w:t>
      </w:r>
      <w:r w:rsidR="005E419D">
        <w:t>шей школы Иркутской об</w:t>
      </w:r>
      <w:r w:rsidR="00C664F5">
        <w:t>ласти от 31.12.2008 № 21/1-мпр, норматив численности работников администрации  района в 2011 году согласован в количестве 120 шт. единиц.</w:t>
      </w:r>
    </w:p>
    <w:p w:rsidR="007D1993" w:rsidRDefault="00C664F5" w:rsidP="004F4BD0">
      <w:pPr>
        <w:jc w:val="both"/>
      </w:pPr>
      <w:r>
        <w:t>По</w:t>
      </w:r>
      <w:r w:rsidR="007D1993">
        <w:t xml:space="preserve"> </w:t>
      </w:r>
      <w:r>
        <w:t>итогам всероссийской переписи населения 2010 года численность населения района по состоянию на 01.01.2012 года составляет 53629 человек, что может послужить причиной снижения норматива численности работников администрации района до 110 шт.</w:t>
      </w:r>
      <w:r w:rsidR="00F41F5E">
        <w:t xml:space="preserve"> </w:t>
      </w:r>
      <w:r w:rsidR="0066043C">
        <w:t>единиц.</w:t>
      </w:r>
      <w:r>
        <w:t xml:space="preserve"> </w:t>
      </w:r>
      <w:r w:rsidR="007D1993">
        <w:t xml:space="preserve">Согласно утвержденной решением Думы Нижнеилимского муниципального района от 24.11.2010 №14,  структура администрации района </w:t>
      </w:r>
      <w:r>
        <w:t xml:space="preserve"> </w:t>
      </w:r>
      <w:r w:rsidR="007D1993">
        <w:t>состоит:</w:t>
      </w:r>
    </w:p>
    <w:p w:rsidR="007D1993" w:rsidRDefault="007D1993" w:rsidP="004F4BD0">
      <w:pPr>
        <w:jc w:val="both"/>
      </w:pPr>
      <w:r>
        <w:t>- мэр района, 3-рех заместителей, помощника, пресс-секретаря;</w:t>
      </w:r>
    </w:p>
    <w:p w:rsidR="007D1993" w:rsidRDefault="007D1993" w:rsidP="004F4BD0">
      <w:pPr>
        <w:jc w:val="both"/>
      </w:pPr>
      <w:r>
        <w:t>- финансового управления;</w:t>
      </w:r>
    </w:p>
    <w:p w:rsidR="007D1993" w:rsidRDefault="007D1993" w:rsidP="004F4BD0">
      <w:pPr>
        <w:jc w:val="both"/>
      </w:pPr>
      <w:r>
        <w:t>- управления по культуре, спорту и делам молодежи;</w:t>
      </w:r>
    </w:p>
    <w:p w:rsidR="00F41F5E" w:rsidRDefault="007D1993" w:rsidP="004F4BD0">
      <w:pPr>
        <w:jc w:val="both"/>
      </w:pPr>
      <w:r>
        <w:t xml:space="preserve">- департаментов образования, </w:t>
      </w:r>
      <w:r w:rsidR="00F41F5E">
        <w:t xml:space="preserve"> по </w:t>
      </w:r>
      <w:r>
        <w:t>управлени</w:t>
      </w:r>
      <w:r w:rsidR="00F41F5E">
        <w:t>ю</w:t>
      </w:r>
      <w:r>
        <w:t xml:space="preserve"> муниципальным имуществом</w:t>
      </w:r>
    </w:p>
    <w:p w:rsidR="00F41F5E" w:rsidRDefault="00F41F5E" w:rsidP="004F4BD0">
      <w:pPr>
        <w:jc w:val="both"/>
      </w:pPr>
      <w:r>
        <w:t>-</w:t>
      </w:r>
      <w:r w:rsidR="007D1993">
        <w:t xml:space="preserve"> отделов: социально-экономического развития; бухгалтерского учета и отчетности</w:t>
      </w:r>
      <w:r>
        <w:t>; архивного; субсидий; строительства и архитектуры; жилищно-коммунального хозяйства, транспорта и связи; организационной работы и взаимодействия с поселениями; юридического; административно-хозяйственного;</w:t>
      </w:r>
    </w:p>
    <w:p w:rsidR="00F41F5E" w:rsidRDefault="00F41F5E" w:rsidP="004F4BD0">
      <w:pPr>
        <w:jc w:val="both"/>
      </w:pPr>
      <w:r>
        <w:t>- комиссии: административной; по делам несовершеннолетних;</w:t>
      </w:r>
    </w:p>
    <w:p w:rsidR="00F41F5E" w:rsidRDefault="00F41F5E" w:rsidP="004F4BD0">
      <w:pPr>
        <w:jc w:val="both"/>
      </w:pPr>
      <w:r>
        <w:t>- консультантов: по природопользованию и охране окружающей среды; по сельскому хозяйству; по государственному управлению оплатой труда, по кадрам;</w:t>
      </w:r>
    </w:p>
    <w:p w:rsidR="00F41F5E" w:rsidRDefault="00F41F5E" w:rsidP="004F4BD0">
      <w:pPr>
        <w:jc w:val="both"/>
      </w:pPr>
      <w:r>
        <w:t>- сектора ГО, ЧС и мобильной подготовке;</w:t>
      </w:r>
    </w:p>
    <w:p w:rsidR="00F41F5E" w:rsidRDefault="00F41F5E" w:rsidP="004F4BD0">
      <w:pPr>
        <w:jc w:val="both"/>
      </w:pPr>
      <w:r>
        <w:t>- гаража.</w:t>
      </w:r>
    </w:p>
    <w:p w:rsidR="00A62E4A" w:rsidRDefault="00F41F5E" w:rsidP="004F4BD0">
      <w:pPr>
        <w:jc w:val="both"/>
      </w:pPr>
      <w:r>
        <w:lastRenderedPageBreak/>
        <w:t xml:space="preserve">        Всего, согласно утвержденным штатным расписаниям на 2010г, в составе </w:t>
      </w:r>
      <w:r w:rsidR="00A62E4A">
        <w:t>администрации Нижнеилимского муниципального района предусмотрено 78,8 шт.ед. (таблица №7)</w:t>
      </w:r>
    </w:p>
    <w:p w:rsidR="00A62E4A" w:rsidRDefault="00A62E4A" w:rsidP="004F4BD0">
      <w:pPr>
        <w:jc w:val="both"/>
      </w:pPr>
      <w:r>
        <w:t xml:space="preserve"> </w:t>
      </w:r>
    </w:p>
    <w:p w:rsidR="00C664F5" w:rsidRDefault="00A62E4A" w:rsidP="00A62E4A">
      <w:pPr>
        <w:jc w:val="center"/>
      </w:pPr>
      <w:r>
        <w:t>Соблюдение норматива численности работников администрации района, необходимой для решения в</w:t>
      </w:r>
      <w:r w:rsidR="005A0F0F">
        <w:t>опросов местного значения в 2011</w:t>
      </w:r>
      <w:r>
        <w:t>г</w:t>
      </w:r>
    </w:p>
    <w:p w:rsidR="00A62E4A" w:rsidRDefault="00A62E4A" w:rsidP="00A62E4A">
      <w:pPr>
        <w:jc w:val="right"/>
      </w:pPr>
      <w:r>
        <w:t>Таблица №7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62E4A" w:rsidTr="00A62E4A">
        <w:tc>
          <w:tcPr>
            <w:tcW w:w="2392" w:type="dxa"/>
          </w:tcPr>
          <w:p w:rsidR="00A62E4A" w:rsidRPr="00A62E4A" w:rsidRDefault="00A62E4A" w:rsidP="00A62E4A">
            <w:pPr>
              <w:jc w:val="center"/>
              <w:rPr>
                <w:sz w:val="22"/>
                <w:szCs w:val="22"/>
              </w:rPr>
            </w:pPr>
            <w:r w:rsidRPr="00A62E4A">
              <w:rPr>
                <w:sz w:val="22"/>
                <w:szCs w:val="22"/>
              </w:rPr>
              <w:t>Численность работников администрации муниципального образования</w:t>
            </w:r>
          </w:p>
        </w:tc>
        <w:tc>
          <w:tcPr>
            <w:tcW w:w="2393" w:type="dxa"/>
          </w:tcPr>
          <w:p w:rsidR="00A62E4A" w:rsidRDefault="00A62E4A" w:rsidP="00A62E4A">
            <w:pPr>
              <w:jc w:val="center"/>
            </w:pPr>
            <w:r>
              <w:t>Согласно методическим</w:t>
            </w:r>
          </w:p>
          <w:p w:rsidR="00A62E4A" w:rsidRDefault="00A62E4A" w:rsidP="00A62E4A">
            <w:pPr>
              <w:jc w:val="center"/>
            </w:pPr>
            <w:r>
              <w:t>Рекомендациям (шт.ед)</w:t>
            </w:r>
          </w:p>
        </w:tc>
        <w:tc>
          <w:tcPr>
            <w:tcW w:w="2393" w:type="dxa"/>
          </w:tcPr>
          <w:p w:rsidR="00A62E4A" w:rsidRDefault="00A62E4A" w:rsidP="00A62E4A">
            <w:pPr>
              <w:jc w:val="center"/>
            </w:pPr>
            <w:r>
              <w:t>Согласно штатному расписанию (шт.ед.)</w:t>
            </w:r>
          </w:p>
        </w:tc>
        <w:tc>
          <w:tcPr>
            <w:tcW w:w="2393" w:type="dxa"/>
          </w:tcPr>
          <w:p w:rsidR="00A62E4A" w:rsidRDefault="00A62E4A" w:rsidP="00A62E4A">
            <w:pPr>
              <w:jc w:val="center"/>
            </w:pPr>
            <w:r>
              <w:t>Отклонения от норматива (шт.ед.)</w:t>
            </w:r>
          </w:p>
        </w:tc>
      </w:tr>
      <w:tr w:rsidR="00A62E4A" w:rsidTr="00A62E4A">
        <w:tc>
          <w:tcPr>
            <w:tcW w:w="2392" w:type="dxa"/>
          </w:tcPr>
          <w:p w:rsidR="00A62E4A" w:rsidRPr="008D0938" w:rsidRDefault="00A62E4A" w:rsidP="008D0938">
            <w:pPr>
              <w:rPr>
                <w:b/>
                <w:sz w:val="22"/>
                <w:szCs w:val="22"/>
              </w:rPr>
            </w:pPr>
            <w:r w:rsidRPr="008D0938">
              <w:rPr>
                <w:b/>
                <w:sz w:val="22"/>
                <w:szCs w:val="22"/>
              </w:rPr>
              <w:t>Муниципальные служащие</w:t>
            </w:r>
          </w:p>
        </w:tc>
        <w:tc>
          <w:tcPr>
            <w:tcW w:w="2393" w:type="dxa"/>
          </w:tcPr>
          <w:p w:rsidR="00A62E4A" w:rsidRPr="008D0938" w:rsidRDefault="00A62E4A" w:rsidP="00A62E4A">
            <w:pPr>
              <w:jc w:val="center"/>
              <w:rPr>
                <w:b/>
                <w:sz w:val="22"/>
                <w:szCs w:val="22"/>
              </w:rPr>
            </w:pPr>
            <w:r w:rsidRPr="008D0938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2393" w:type="dxa"/>
          </w:tcPr>
          <w:p w:rsidR="00A62E4A" w:rsidRPr="008D0938" w:rsidRDefault="00A62E4A" w:rsidP="00A62E4A">
            <w:pPr>
              <w:jc w:val="center"/>
              <w:rPr>
                <w:b/>
                <w:sz w:val="22"/>
                <w:szCs w:val="22"/>
              </w:rPr>
            </w:pPr>
            <w:r w:rsidRPr="008D0938">
              <w:rPr>
                <w:b/>
                <w:sz w:val="22"/>
                <w:szCs w:val="22"/>
              </w:rPr>
              <w:t>78,8</w:t>
            </w:r>
          </w:p>
        </w:tc>
        <w:tc>
          <w:tcPr>
            <w:tcW w:w="2393" w:type="dxa"/>
          </w:tcPr>
          <w:p w:rsidR="00A62E4A" w:rsidRPr="008D0938" w:rsidRDefault="00A62E4A" w:rsidP="008D0938">
            <w:pPr>
              <w:jc w:val="center"/>
              <w:rPr>
                <w:b/>
                <w:sz w:val="22"/>
                <w:szCs w:val="22"/>
              </w:rPr>
            </w:pPr>
            <w:r w:rsidRPr="008D0938">
              <w:rPr>
                <w:b/>
                <w:sz w:val="22"/>
                <w:szCs w:val="22"/>
              </w:rPr>
              <w:t>-0,2</w:t>
            </w:r>
          </w:p>
        </w:tc>
      </w:tr>
      <w:tr w:rsidR="00A62E4A" w:rsidTr="00A62E4A">
        <w:tc>
          <w:tcPr>
            <w:tcW w:w="2392" w:type="dxa"/>
          </w:tcPr>
          <w:p w:rsidR="00A62E4A" w:rsidRPr="008D0938" w:rsidRDefault="00A62E4A" w:rsidP="008D0938">
            <w:pPr>
              <w:rPr>
                <w:sz w:val="22"/>
                <w:szCs w:val="22"/>
              </w:rPr>
            </w:pPr>
            <w:r w:rsidRPr="008D0938">
              <w:rPr>
                <w:sz w:val="22"/>
                <w:szCs w:val="22"/>
              </w:rPr>
              <w:t>-главные должности</w:t>
            </w:r>
          </w:p>
        </w:tc>
        <w:tc>
          <w:tcPr>
            <w:tcW w:w="2393" w:type="dxa"/>
          </w:tcPr>
          <w:p w:rsidR="00A62E4A" w:rsidRPr="008D0938" w:rsidRDefault="00A62E4A" w:rsidP="00A62E4A">
            <w:pPr>
              <w:jc w:val="center"/>
              <w:rPr>
                <w:sz w:val="22"/>
                <w:szCs w:val="22"/>
              </w:rPr>
            </w:pPr>
            <w:r w:rsidRPr="008D0938">
              <w:rPr>
                <w:sz w:val="22"/>
                <w:szCs w:val="22"/>
              </w:rPr>
              <w:t>12</w:t>
            </w:r>
          </w:p>
        </w:tc>
        <w:tc>
          <w:tcPr>
            <w:tcW w:w="2393" w:type="dxa"/>
          </w:tcPr>
          <w:p w:rsidR="00A62E4A" w:rsidRPr="008D0938" w:rsidRDefault="00A62E4A" w:rsidP="00A62E4A">
            <w:pPr>
              <w:jc w:val="center"/>
              <w:rPr>
                <w:sz w:val="22"/>
                <w:szCs w:val="22"/>
              </w:rPr>
            </w:pPr>
            <w:r w:rsidRPr="008D0938">
              <w:rPr>
                <w:sz w:val="22"/>
                <w:szCs w:val="22"/>
              </w:rPr>
              <w:t>15,5</w:t>
            </w:r>
          </w:p>
        </w:tc>
        <w:tc>
          <w:tcPr>
            <w:tcW w:w="2393" w:type="dxa"/>
          </w:tcPr>
          <w:p w:rsidR="00A62E4A" w:rsidRPr="008D0938" w:rsidRDefault="00A62E4A" w:rsidP="008D0938">
            <w:pPr>
              <w:jc w:val="center"/>
              <w:rPr>
                <w:sz w:val="22"/>
                <w:szCs w:val="22"/>
              </w:rPr>
            </w:pPr>
            <w:r w:rsidRPr="008D0938">
              <w:rPr>
                <w:sz w:val="22"/>
                <w:szCs w:val="22"/>
              </w:rPr>
              <w:t>3,5</w:t>
            </w:r>
          </w:p>
        </w:tc>
      </w:tr>
      <w:tr w:rsidR="00A62E4A" w:rsidTr="00A62E4A">
        <w:tc>
          <w:tcPr>
            <w:tcW w:w="2392" w:type="dxa"/>
          </w:tcPr>
          <w:p w:rsidR="00A62E4A" w:rsidRPr="008D0938" w:rsidRDefault="008D0938" w:rsidP="008D0938">
            <w:pPr>
              <w:rPr>
                <w:sz w:val="22"/>
                <w:szCs w:val="22"/>
              </w:rPr>
            </w:pPr>
            <w:r w:rsidRPr="008D0938">
              <w:rPr>
                <w:sz w:val="22"/>
                <w:szCs w:val="22"/>
              </w:rPr>
              <w:t>-ведущие должности</w:t>
            </w:r>
          </w:p>
        </w:tc>
        <w:tc>
          <w:tcPr>
            <w:tcW w:w="2393" w:type="dxa"/>
          </w:tcPr>
          <w:p w:rsidR="008D0938" w:rsidRPr="008D0938" w:rsidRDefault="008D0938" w:rsidP="00A62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93" w:type="dxa"/>
          </w:tcPr>
          <w:p w:rsidR="00A62E4A" w:rsidRPr="008D0938" w:rsidRDefault="008D0938" w:rsidP="00A62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A62E4A" w:rsidRPr="008D0938" w:rsidRDefault="00A62E4A" w:rsidP="008D0938">
            <w:pPr>
              <w:jc w:val="center"/>
              <w:rPr>
                <w:sz w:val="22"/>
                <w:szCs w:val="22"/>
              </w:rPr>
            </w:pPr>
            <w:r w:rsidRPr="008D0938">
              <w:rPr>
                <w:sz w:val="22"/>
                <w:szCs w:val="22"/>
              </w:rPr>
              <w:t>-10</w:t>
            </w:r>
          </w:p>
        </w:tc>
      </w:tr>
      <w:tr w:rsidR="00A62E4A" w:rsidTr="00A62E4A">
        <w:tc>
          <w:tcPr>
            <w:tcW w:w="2392" w:type="dxa"/>
          </w:tcPr>
          <w:p w:rsidR="00A62E4A" w:rsidRPr="008D0938" w:rsidRDefault="008D0938" w:rsidP="008D0938">
            <w:pPr>
              <w:rPr>
                <w:sz w:val="22"/>
                <w:szCs w:val="22"/>
              </w:rPr>
            </w:pPr>
            <w:r w:rsidRPr="008D0938">
              <w:rPr>
                <w:sz w:val="22"/>
                <w:szCs w:val="22"/>
              </w:rPr>
              <w:t>-старшие должности</w:t>
            </w:r>
          </w:p>
        </w:tc>
        <w:tc>
          <w:tcPr>
            <w:tcW w:w="2393" w:type="dxa"/>
          </w:tcPr>
          <w:p w:rsidR="00A62E4A" w:rsidRPr="008D0938" w:rsidRDefault="008D0938" w:rsidP="00A62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93" w:type="dxa"/>
          </w:tcPr>
          <w:p w:rsidR="00A62E4A" w:rsidRPr="008D0938" w:rsidRDefault="008D0938" w:rsidP="00A62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2393" w:type="dxa"/>
          </w:tcPr>
          <w:p w:rsidR="00A62E4A" w:rsidRPr="008D0938" w:rsidRDefault="00A62E4A" w:rsidP="008D0938">
            <w:pPr>
              <w:jc w:val="center"/>
              <w:rPr>
                <w:sz w:val="22"/>
                <w:szCs w:val="22"/>
              </w:rPr>
            </w:pPr>
            <w:r w:rsidRPr="008D0938">
              <w:rPr>
                <w:sz w:val="22"/>
                <w:szCs w:val="22"/>
              </w:rPr>
              <w:t>12,3</w:t>
            </w:r>
          </w:p>
        </w:tc>
      </w:tr>
      <w:tr w:rsidR="00A62E4A" w:rsidTr="00A62E4A">
        <w:tc>
          <w:tcPr>
            <w:tcW w:w="2392" w:type="dxa"/>
          </w:tcPr>
          <w:p w:rsidR="00A62E4A" w:rsidRPr="008D0938" w:rsidRDefault="008D0938" w:rsidP="008D0938">
            <w:pPr>
              <w:rPr>
                <w:sz w:val="22"/>
                <w:szCs w:val="22"/>
              </w:rPr>
            </w:pPr>
            <w:r w:rsidRPr="008D0938">
              <w:rPr>
                <w:sz w:val="22"/>
                <w:szCs w:val="22"/>
              </w:rPr>
              <w:t>-младшие должности</w:t>
            </w:r>
          </w:p>
        </w:tc>
        <w:tc>
          <w:tcPr>
            <w:tcW w:w="2393" w:type="dxa"/>
          </w:tcPr>
          <w:p w:rsidR="00A62E4A" w:rsidRPr="008D0938" w:rsidRDefault="008D0938" w:rsidP="00A62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393" w:type="dxa"/>
          </w:tcPr>
          <w:p w:rsidR="00A62E4A" w:rsidRPr="008D0938" w:rsidRDefault="008D0938" w:rsidP="00A62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393" w:type="dxa"/>
          </w:tcPr>
          <w:p w:rsidR="00A62E4A" w:rsidRPr="008D0938" w:rsidRDefault="00A62E4A" w:rsidP="008D0938">
            <w:pPr>
              <w:jc w:val="center"/>
              <w:rPr>
                <w:sz w:val="22"/>
                <w:szCs w:val="22"/>
              </w:rPr>
            </w:pPr>
            <w:r w:rsidRPr="008D0938">
              <w:rPr>
                <w:sz w:val="22"/>
                <w:szCs w:val="22"/>
              </w:rPr>
              <w:t>-6</w:t>
            </w:r>
          </w:p>
        </w:tc>
      </w:tr>
      <w:tr w:rsidR="00A62E4A" w:rsidTr="00A62E4A">
        <w:tc>
          <w:tcPr>
            <w:tcW w:w="2392" w:type="dxa"/>
          </w:tcPr>
          <w:p w:rsidR="00A62E4A" w:rsidRPr="008D0938" w:rsidRDefault="008D0938" w:rsidP="008D0938">
            <w:pPr>
              <w:rPr>
                <w:b/>
                <w:sz w:val="22"/>
                <w:szCs w:val="22"/>
              </w:rPr>
            </w:pPr>
            <w:r w:rsidRPr="008D0938">
              <w:rPr>
                <w:b/>
                <w:sz w:val="22"/>
                <w:szCs w:val="22"/>
              </w:rPr>
              <w:t>Технические исполнители</w:t>
            </w:r>
          </w:p>
        </w:tc>
        <w:tc>
          <w:tcPr>
            <w:tcW w:w="2393" w:type="dxa"/>
          </w:tcPr>
          <w:p w:rsidR="00A62E4A" w:rsidRPr="008D0938" w:rsidRDefault="008D0938" w:rsidP="00A62E4A">
            <w:pPr>
              <w:jc w:val="center"/>
              <w:rPr>
                <w:b/>
                <w:sz w:val="22"/>
                <w:szCs w:val="22"/>
              </w:rPr>
            </w:pPr>
            <w:r w:rsidRPr="008D09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A62E4A" w:rsidRPr="008D0938" w:rsidRDefault="008D0938" w:rsidP="00A62E4A">
            <w:pPr>
              <w:jc w:val="center"/>
              <w:rPr>
                <w:b/>
                <w:sz w:val="22"/>
                <w:szCs w:val="22"/>
              </w:rPr>
            </w:pPr>
            <w:r w:rsidRPr="008D093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393" w:type="dxa"/>
          </w:tcPr>
          <w:p w:rsidR="00A62E4A" w:rsidRPr="008D0938" w:rsidRDefault="00A62E4A" w:rsidP="008D0938">
            <w:pPr>
              <w:jc w:val="center"/>
              <w:rPr>
                <w:b/>
                <w:sz w:val="22"/>
                <w:szCs w:val="22"/>
              </w:rPr>
            </w:pPr>
            <w:r w:rsidRPr="008D0938">
              <w:rPr>
                <w:b/>
                <w:sz w:val="22"/>
                <w:szCs w:val="22"/>
              </w:rPr>
              <w:t>18</w:t>
            </w:r>
          </w:p>
        </w:tc>
      </w:tr>
      <w:tr w:rsidR="00A62E4A" w:rsidTr="00A62E4A">
        <w:tc>
          <w:tcPr>
            <w:tcW w:w="2392" w:type="dxa"/>
          </w:tcPr>
          <w:p w:rsidR="00A62E4A" w:rsidRPr="008D0938" w:rsidRDefault="008D0938" w:rsidP="008D0938">
            <w:pPr>
              <w:rPr>
                <w:b/>
                <w:sz w:val="22"/>
                <w:szCs w:val="22"/>
              </w:rPr>
            </w:pPr>
            <w:r w:rsidRPr="008D0938">
              <w:rPr>
                <w:b/>
                <w:sz w:val="22"/>
                <w:szCs w:val="22"/>
              </w:rPr>
              <w:t>Вспомогательный персонал</w:t>
            </w:r>
          </w:p>
        </w:tc>
        <w:tc>
          <w:tcPr>
            <w:tcW w:w="2393" w:type="dxa"/>
          </w:tcPr>
          <w:p w:rsidR="00A62E4A" w:rsidRPr="008D0938" w:rsidRDefault="008D0938" w:rsidP="00A62E4A">
            <w:pPr>
              <w:jc w:val="center"/>
              <w:rPr>
                <w:b/>
                <w:sz w:val="22"/>
                <w:szCs w:val="22"/>
              </w:rPr>
            </w:pPr>
            <w:r w:rsidRPr="008D0938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393" w:type="dxa"/>
          </w:tcPr>
          <w:p w:rsidR="00A62E4A" w:rsidRPr="008D0938" w:rsidRDefault="008D0938" w:rsidP="00A62E4A">
            <w:pPr>
              <w:jc w:val="center"/>
              <w:rPr>
                <w:b/>
                <w:sz w:val="22"/>
                <w:szCs w:val="22"/>
              </w:rPr>
            </w:pPr>
            <w:r w:rsidRPr="008D0938">
              <w:rPr>
                <w:b/>
                <w:sz w:val="22"/>
                <w:szCs w:val="22"/>
              </w:rPr>
              <w:t>13,2</w:t>
            </w:r>
          </w:p>
        </w:tc>
        <w:tc>
          <w:tcPr>
            <w:tcW w:w="2393" w:type="dxa"/>
          </w:tcPr>
          <w:p w:rsidR="00A62E4A" w:rsidRPr="008D0938" w:rsidRDefault="00A62E4A" w:rsidP="008D0938">
            <w:pPr>
              <w:jc w:val="center"/>
              <w:rPr>
                <w:b/>
                <w:sz w:val="22"/>
                <w:szCs w:val="22"/>
              </w:rPr>
            </w:pPr>
            <w:r w:rsidRPr="008D0938">
              <w:rPr>
                <w:b/>
                <w:sz w:val="22"/>
                <w:szCs w:val="22"/>
              </w:rPr>
              <w:t>-21,8</w:t>
            </w:r>
          </w:p>
        </w:tc>
      </w:tr>
      <w:tr w:rsidR="00A62E4A" w:rsidTr="00A62E4A">
        <w:tc>
          <w:tcPr>
            <w:tcW w:w="2392" w:type="dxa"/>
          </w:tcPr>
          <w:p w:rsidR="00A62E4A" w:rsidRPr="008D0938" w:rsidRDefault="008D0938" w:rsidP="008D0938">
            <w:pPr>
              <w:rPr>
                <w:b/>
                <w:sz w:val="22"/>
                <w:szCs w:val="22"/>
              </w:rPr>
            </w:pPr>
            <w:r w:rsidRPr="008D093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93" w:type="dxa"/>
          </w:tcPr>
          <w:p w:rsidR="00A62E4A" w:rsidRPr="008D0938" w:rsidRDefault="008D0938" w:rsidP="00E44D5D">
            <w:pPr>
              <w:jc w:val="center"/>
              <w:rPr>
                <w:b/>
                <w:sz w:val="22"/>
                <w:szCs w:val="22"/>
              </w:rPr>
            </w:pPr>
            <w:r w:rsidRPr="008D0938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2393" w:type="dxa"/>
          </w:tcPr>
          <w:p w:rsidR="00A62E4A" w:rsidRPr="008D0938" w:rsidRDefault="008D0938" w:rsidP="00E44D5D">
            <w:pPr>
              <w:jc w:val="center"/>
              <w:rPr>
                <w:b/>
                <w:sz w:val="22"/>
                <w:szCs w:val="22"/>
              </w:rPr>
            </w:pPr>
            <w:r w:rsidRPr="008D0938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2393" w:type="dxa"/>
          </w:tcPr>
          <w:p w:rsidR="00A62E4A" w:rsidRPr="008D0938" w:rsidRDefault="008D0938" w:rsidP="008D0938">
            <w:pPr>
              <w:jc w:val="center"/>
              <w:rPr>
                <w:b/>
                <w:sz w:val="22"/>
                <w:szCs w:val="22"/>
              </w:rPr>
            </w:pPr>
            <w:r w:rsidRPr="008D0938">
              <w:rPr>
                <w:b/>
                <w:sz w:val="22"/>
                <w:szCs w:val="22"/>
              </w:rPr>
              <w:t>-4</w:t>
            </w:r>
          </w:p>
        </w:tc>
      </w:tr>
    </w:tbl>
    <w:p w:rsidR="005B2AC5" w:rsidRDefault="008D0938" w:rsidP="005A0F0F">
      <w:pPr>
        <w:jc w:val="both"/>
      </w:pPr>
      <w:r>
        <w:t xml:space="preserve"> </w:t>
      </w:r>
    </w:p>
    <w:p w:rsidR="00A62E4A" w:rsidRDefault="005B2AC5" w:rsidP="005A0F0F">
      <w:pPr>
        <w:jc w:val="both"/>
      </w:pPr>
      <w:r>
        <w:t xml:space="preserve">        </w:t>
      </w:r>
      <w:r w:rsidR="008D0938">
        <w:t>Проверка показала, что фактически численность работников администрации не превышает нормативную.</w:t>
      </w:r>
    </w:p>
    <w:p w:rsidR="008D0938" w:rsidRDefault="005B2AC5" w:rsidP="005A0F0F">
      <w:pPr>
        <w:jc w:val="both"/>
      </w:pPr>
      <w:r>
        <w:t xml:space="preserve">         </w:t>
      </w:r>
      <w:r w:rsidR="008D0938">
        <w:t xml:space="preserve">Кроме того, как видно из представленной таблицы, не соблюдено рекомендуемое Минтрудом для </w:t>
      </w:r>
      <w:r w:rsidR="008D0938">
        <w:rPr>
          <w:b/>
        </w:rPr>
        <w:t xml:space="preserve">качественного решения вопросов местного значения </w:t>
      </w:r>
      <w:r w:rsidR="008D0938">
        <w:t>соотношение численности должностей муниципальной службы. Так, за счет экономии ведущих и младших должностей муниципальной службы в количестве 16 шт.</w:t>
      </w:r>
      <w:r>
        <w:t xml:space="preserve"> </w:t>
      </w:r>
      <w:r w:rsidR="008D0938">
        <w:t>ед</w:t>
      </w:r>
      <w:r>
        <w:t>и</w:t>
      </w:r>
      <w:r w:rsidR="008D0938">
        <w:t>ниц превышено количество главных и ст</w:t>
      </w:r>
      <w:r>
        <w:t>ар</w:t>
      </w:r>
      <w:r w:rsidR="008D0938">
        <w:t>ших должностей муниципальной службы.</w:t>
      </w:r>
    </w:p>
    <w:p w:rsidR="005B2AC5" w:rsidRDefault="005B2AC5" w:rsidP="005A0F0F">
      <w:pPr>
        <w:jc w:val="both"/>
      </w:pPr>
      <w:r>
        <w:t xml:space="preserve">          </w:t>
      </w:r>
      <w:r w:rsidR="00522F77">
        <w:t>По состоянию на 01.01.2012</w:t>
      </w:r>
      <w:r>
        <w:t>г фактически замещено 116 должностей.</w:t>
      </w:r>
    </w:p>
    <w:p w:rsidR="00F3763B" w:rsidRDefault="00F3763B" w:rsidP="004C108D">
      <w:pPr>
        <w:jc w:val="right"/>
      </w:pPr>
    </w:p>
    <w:p w:rsidR="00B81F6A" w:rsidRDefault="00BC78AD" w:rsidP="004C108D">
      <w:pPr>
        <w:jc w:val="both"/>
      </w:pPr>
      <w:r>
        <w:tab/>
      </w:r>
      <w:r w:rsidR="004C108D" w:rsidRPr="00862121">
        <w:rPr>
          <w:b/>
          <w:i/>
        </w:rPr>
        <w:t>По разделу 05 Жилищно-коммунальное хозяйство</w:t>
      </w:r>
      <w:r w:rsidR="004C108D">
        <w:t xml:space="preserve"> общий объем расходов составил 26 102 тыс.</w:t>
      </w:r>
      <w:r w:rsidR="007365D0">
        <w:t xml:space="preserve"> </w:t>
      </w:r>
      <w:r w:rsidR="004C108D">
        <w:t xml:space="preserve">рублей или 98% к плану и </w:t>
      </w:r>
      <w:r w:rsidR="00B81F6A">
        <w:t xml:space="preserve">60,9% </w:t>
      </w:r>
      <w:r w:rsidR="0039191D">
        <w:t>по отношению к</w:t>
      </w:r>
      <w:r w:rsidR="00B81F6A">
        <w:t xml:space="preserve"> 2010 год</w:t>
      </w:r>
      <w:r w:rsidR="007365D0">
        <w:t>.</w:t>
      </w:r>
      <w:r w:rsidR="00653A4C">
        <w:t xml:space="preserve"> </w:t>
      </w:r>
      <w:r w:rsidR="007365D0">
        <w:t xml:space="preserve"> Структура расходов по данному разделу за 2011 год </w:t>
      </w:r>
      <w:r w:rsidR="00653A4C">
        <w:t>представлена ниже в диаграмме №2</w:t>
      </w:r>
    </w:p>
    <w:p w:rsidR="00F3763B" w:rsidRDefault="00F3763B" w:rsidP="004C108D">
      <w:pPr>
        <w:jc w:val="both"/>
      </w:pPr>
    </w:p>
    <w:p w:rsidR="000B2CD8" w:rsidRDefault="000B2CD8" w:rsidP="004C108D">
      <w:pPr>
        <w:jc w:val="both"/>
      </w:pPr>
    </w:p>
    <w:p w:rsidR="004C108D" w:rsidRDefault="000B2CD8" w:rsidP="00E724EC">
      <w:pPr>
        <w:jc w:val="both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763B" w:rsidRDefault="00F3763B" w:rsidP="00E724EC">
      <w:pPr>
        <w:jc w:val="both"/>
      </w:pPr>
    </w:p>
    <w:p w:rsidR="007365D0" w:rsidRDefault="00F3763B" w:rsidP="00E724EC">
      <w:pPr>
        <w:jc w:val="both"/>
      </w:pPr>
      <w:r>
        <w:tab/>
      </w:r>
      <w:r w:rsidR="007365D0">
        <w:t xml:space="preserve">Расходы по </w:t>
      </w:r>
      <w:r w:rsidR="00B86480">
        <w:t>подразделу 0502 «Коммунальное хозяйство» в 2011 году составили 25 590 449,30 рублей или 98% бюджетных ассигнований на 2011 год.</w:t>
      </w:r>
    </w:p>
    <w:p w:rsidR="00B86480" w:rsidRDefault="00B86480" w:rsidP="00E724EC">
      <w:pPr>
        <w:jc w:val="both"/>
      </w:pPr>
      <w:r>
        <w:t>В общую сумму расходов по данному подразделу вошли следующие расходы:</w:t>
      </w:r>
    </w:p>
    <w:p w:rsidR="00B86480" w:rsidRDefault="00B86480" w:rsidP="00E724EC">
      <w:pPr>
        <w:jc w:val="both"/>
      </w:pPr>
      <w:r>
        <w:t>-</w:t>
      </w:r>
      <w:r w:rsidR="00C8114D">
        <w:t xml:space="preserve">   </w:t>
      </w:r>
      <w:r>
        <w:t xml:space="preserve"> оплата кредиторской задолженности</w:t>
      </w:r>
      <w:r w:rsidR="00A27418">
        <w:t xml:space="preserve"> – 3 760 тыс. рублей;</w:t>
      </w:r>
    </w:p>
    <w:p w:rsidR="00C8114D" w:rsidRDefault="00A27418" w:rsidP="00E724EC">
      <w:pPr>
        <w:jc w:val="both"/>
      </w:pPr>
      <w:r>
        <w:t>-</w:t>
      </w:r>
      <w:r w:rsidR="00C8114D">
        <w:t xml:space="preserve"> </w:t>
      </w:r>
      <w:r>
        <w:t>реализация МЦП «Модернизация объектов коммунальной инфраструктуры в Рудногорском ГП Нижнеилимского района» на 2011-2013 годы (строительство водозабора) за счет средств иных межбюджетных трансфертов из бюджетов поселений за переданные полномочия – 21 646 тыс. рублей;</w:t>
      </w:r>
    </w:p>
    <w:p w:rsidR="00EF69E4" w:rsidRDefault="00C8114D" w:rsidP="00E724EC">
      <w:pPr>
        <w:jc w:val="both"/>
      </w:pPr>
      <w:r>
        <w:t>-  реализация программы комплексного развития систем коммунальной инфраструктуры на территории МО «Нижнеилимский район» на 2011-2013 годы (проектная документация по строительству котельной п.Речушка) – 185 тыс. рублей.</w:t>
      </w:r>
      <w:r w:rsidR="00A27418">
        <w:t xml:space="preserve"> </w:t>
      </w:r>
    </w:p>
    <w:p w:rsidR="00A27418" w:rsidRDefault="001601A8" w:rsidP="00E724EC">
      <w:pPr>
        <w:jc w:val="both"/>
      </w:pPr>
      <w:r>
        <w:tab/>
      </w:r>
      <w:r w:rsidR="00C8114D">
        <w:t xml:space="preserve">В ходе проверки исполнения расходов </w:t>
      </w:r>
      <w:r>
        <w:t xml:space="preserve">бюджета </w:t>
      </w:r>
      <w:r w:rsidR="00C8114D">
        <w:t xml:space="preserve">по разделу 05, в справочной таблице №3 и таб. №4 </w:t>
      </w:r>
      <w:r>
        <w:t xml:space="preserve">«Жилищно-коммунальное хозяйство» </w:t>
      </w:r>
      <w:r w:rsidR="00C8114D">
        <w:t>в графе</w:t>
      </w:r>
      <w:r>
        <w:t xml:space="preserve"> – (исполнение</w:t>
      </w:r>
      <w:r w:rsidR="00C8114D">
        <w:t xml:space="preserve"> за 2011 год</w:t>
      </w:r>
      <w:r>
        <w:t>)</w:t>
      </w:r>
      <w:r w:rsidR="00055012">
        <w:t xml:space="preserve">, </w:t>
      </w:r>
      <w:r w:rsidR="00C8114D">
        <w:t>сумма расходов по муниципальной программе «Модернизация объектов коммунальной инфраструктуры в Рудногорском ГП  Нижнеилимского района на 2011-2013 годы» (строительств</w:t>
      </w:r>
      <w:r w:rsidR="00055012">
        <w:t xml:space="preserve">о водозабора) прописана в суммах 20 927 тыс. руб. и 719 тыс. руб., что не соответствует Приложению № 6 </w:t>
      </w:r>
      <w:r>
        <w:t>«</w:t>
      </w:r>
      <w:r w:rsidR="00055012">
        <w:t>Отчета об исполнении бюджета по разделам, подразделам, целевым статьям и видам расходов классификации расходов бюджетов РФ за 2011 год</w:t>
      </w:r>
      <w:r>
        <w:t>»</w:t>
      </w:r>
      <w:r w:rsidR="00055012">
        <w:t xml:space="preserve"> (КЦСР 7951002  сумма 1 082 400 тыс. руб.). В свою очередь в Приложении № 6 по</w:t>
      </w:r>
      <w:r w:rsidR="00EF69E4">
        <w:t xml:space="preserve"> строке</w:t>
      </w:r>
      <w:r w:rsidR="00055012">
        <w:t xml:space="preserve"> КЦСР 5222002 исполнение по общепрограммным</w:t>
      </w:r>
      <w:r w:rsidR="00EF69E4">
        <w:t xml:space="preserve"> мероприятиям долгосроч</w:t>
      </w:r>
      <w:r w:rsidR="00055012">
        <w:t xml:space="preserve">ной целевой программы </w:t>
      </w:r>
      <w:r w:rsidR="00EF69E4">
        <w:t>«Модернизация объектов коммунальной инфраструктуры Иркутской области на 2011-2012 годы» пр</w:t>
      </w:r>
      <w:r w:rsidR="00EC64A5">
        <w:t>описана сумма 20 564 тыс. руб., что не соответствует показателям справочной таблицы</w:t>
      </w:r>
      <w:r w:rsidR="00783B4D">
        <w:t xml:space="preserve"> №4.</w:t>
      </w:r>
    </w:p>
    <w:p w:rsidR="00012C28" w:rsidRDefault="00862121" w:rsidP="00D15C0F">
      <w:pPr>
        <w:jc w:val="both"/>
      </w:pPr>
      <w:r>
        <w:tab/>
      </w:r>
    </w:p>
    <w:p w:rsidR="00012C28" w:rsidRPr="00862121" w:rsidRDefault="00012C28" w:rsidP="00012C28">
      <w:pPr>
        <w:jc w:val="center"/>
        <w:rPr>
          <w:b/>
        </w:rPr>
      </w:pPr>
      <w:r w:rsidRPr="00862121">
        <w:rPr>
          <w:b/>
        </w:rPr>
        <w:t>Муниципальные целевые программы.</w:t>
      </w:r>
    </w:p>
    <w:p w:rsidR="00012C28" w:rsidRDefault="00012C28" w:rsidP="00012C28">
      <w:pPr>
        <w:jc w:val="center"/>
      </w:pPr>
    </w:p>
    <w:p w:rsidR="00012C28" w:rsidRDefault="00862121" w:rsidP="00012C28">
      <w:pPr>
        <w:jc w:val="both"/>
      </w:pPr>
      <w:r>
        <w:tab/>
      </w:r>
      <w:r w:rsidR="00012C28">
        <w:t>В соответствии с требованиями ст.179 Бюджетного кодекса, постановлением админист</w:t>
      </w:r>
      <w:r w:rsidR="001E3E39">
        <w:t>рации района от 23</w:t>
      </w:r>
      <w:r w:rsidR="00CB2D0B">
        <w:t>.07.2009 № 421</w:t>
      </w:r>
      <w:r w:rsidR="00012C28">
        <w:t xml:space="preserve"> утвержден Порядок разработки и реализации долгосрочных целевых программ в муниципальном районе.</w:t>
      </w:r>
    </w:p>
    <w:p w:rsidR="00F50740" w:rsidRDefault="007807E4" w:rsidP="00012C28">
      <w:pPr>
        <w:jc w:val="both"/>
      </w:pPr>
      <w:r>
        <w:t xml:space="preserve">При сравнении отчетов об исполнении целевых программ за 2010 год и 2011 год наблюдается увеличение расходов в 2,3 раза. Так на реализацию программ в 2010 году из </w:t>
      </w:r>
      <w:r>
        <w:lastRenderedPageBreak/>
        <w:t>местного бюджета выделено 11 106 тыс. рублей, тогда как аналогичные расходы в 2011 году составили 25 910 тыс. рублей.</w:t>
      </w:r>
    </w:p>
    <w:p w:rsidR="007807E4" w:rsidRDefault="00062BD5" w:rsidP="00012C28">
      <w:pPr>
        <w:jc w:val="both"/>
      </w:pPr>
      <w:r>
        <w:tab/>
      </w:r>
      <w:r w:rsidR="00F50740">
        <w:t>Согласно данным отчета «</w:t>
      </w:r>
      <w:r w:rsidR="00162E47">
        <w:t>Об</w:t>
      </w:r>
      <w:r w:rsidR="00F50740">
        <w:t xml:space="preserve"> исполнении долгосрочных целевых программ МО «Нижнеилимский район» за 2011 год</w:t>
      </w:r>
      <w:r w:rsidR="007807E4">
        <w:t xml:space="preserve"> </w:t>
      </w:r>
      <w:r w:rsidR="00F50740">
        <w:t>в районе действовало 22 муниципальных целевых программ.</w:t>
      </w:r>
    </w:p>
    <w:p w:rsidR="00756A4E" w:rsidRDefault="00062BD5" w:rsidP="00012C28">
      <w:pPr>
        <w:jc w:val="both"/>
      </w:pPr>
      <w:r>
        <w:tab/>
      </w:r>
      <w:r w:rsidR="00756A4E">
        <w:t>На основании Приказа  от 30 декабря 2011 №35-од были внесены изменения к Порядку применения бюджетной классификации Российской Федерации в части, относящейся к бюджету МО Нижнеилимский район» в 2011 году, 22 долгосрочные программы принятые к исполнению соответствуют изменениям по КЦСР.</w:t>
      </w:r>
    </w:p>
    <w:p w:rsidR="00F50740" w:rsidRDefault="00062BD5" w:rsidP="00012C28">
      <w:pPr>
        <w:jc w:val="both"/>
      </w:pPr>
      <w:r>
        <w:tab/>
      </w:r>
      <w:r w:rsidR="00F50740">
        <w:t>Следует отметить, что финансирование программы «Анти-СПИД» на 2011-2015гг. в 2011 году и не планировалось и не осуществлялось</w:t>
      </w:r>
      <w:r w:rsidR="00993310">
        <w:t>.</w:t>
      </w:r>
    </w:p>
    <w:p w:rsidR="00993310" w:rsidRDefault="00062BD5" w:rsidP="00012C28">
      <w:pPr>
        <w:jc w:val="both"/>
      </w:pPr>
      <w:r>
        <w:tab/>
      </w:r>
      <w:r w:rsidR="00993310">
        <w:t>Несмотря на то, что в районе действуют довольно большое количество муниципальных программ, доля расходных обязательств реализованных в 2011 году посредством МЦП составила 2 процента</w:t>
      </w:r>
      <w:r w:rsidR="00162E47">
        <w:t>, более того средства выделяемые на большинство целевых программ фактически являются разновидностью дополнительного финансирования текущих расходов по решению вопросов муниципального образования, а низкие объемы финансирования мероприятий не позволяют оценить экономический или социальный эффект их реализации.</w:t>
      </w:r>
    </w:p>
    <w:p w:rsidR="00F3763B" w:rsidRDefault="00F3763B" w:rsidP="00012C28">
      <w:pPr>
        <w:jc w:val="both"/>
      </w:pPr>
    </w:p>
    <w:p w:rsidR="00F3763B" w:rsidRPr="00862121" w:rsidRDefault="00F3763B" w:rsidP="00F3763B">
      <w:pPr>
        <w:jc w:val="center"/>
        <w:rPr>
          <w:b/>
        </w:rPr>
      </w:pPr>
      <w:r w:rsidRPr="00862121">
        <w:rPr>
          <w:b/>
        </w:rPr>
        <w:t>Социальная политика</w:t>
      </w:r>
    </w:p>
    <w:p w:rsidR="00F3763B" w:rsidRDefault="00F3763B" w:rsidP="00F3763B">
      <w:pPr>
        <w:jc w:val="center"/>
      </w:pPr>
    </w:p>
    <w:p w:rsidR="00F3763B" w:rsidRDefault="000C1988" w:rsidP="00F3763B">
      <w:pPr>
        <w:jc w:val="both"/>
      </w:pPr>
      <w:r>
        <w:tab/>
      </w:r>
      <w:r w:rsidR="00916A52">
        <w:t>Исполнение по данному разделу составило 40 918 тыс. рублей или 89 процентов годовых бюджетных ассигнований на 2011 год (45 740 тыс. руб.). Расходы по данному разделу в сравнении с 2010 годом (33 349 тыс.</w:t>
      </w:r>
      <w:r w:rsidR="00DD4FAA">
        <w:t xml:space="preserve"> </w:t>
      </w:r>
      <w:r w:rsidR="00916A52">
        <w:t xml:space="preserve">руб.) увеличились на 22,65% в основном за счет осуществление в 2011 году </w:t>
      </w:r>
      <w:r w:rsidR="00062BD5">
        <w:t xml:space="preserve">дополнительных </w:t>
      </w:r>
      <w:r w:rsidR="00916A52">
        <w:t>областных государственных полномочий по обеспечению жилыми помещениями детей-сирот, оставшихся без попечения родителей – 3 707 тыс.</w:t>
      </w:r>
      <w:r w:rsidR="00DD4FAA">
        <w:t xml:space="preserve">  </w:t>
      </w:r>
      <w:r w:rsidR="00916A52">
        <w:t>рублей</w:t>
      </w:r>
      <w:r w:rsidR="00DD4FAA">
        <w:t>.</w:t>
      </w:r>
    </w:p>
    <w:p w:rsidR="00265363" w:rsidRDefault="000C1988" w:rsidP="00F3763B">
      <w:pPr>
        <w:jc w:val="both"/>
      </w:pPr>
      <w:r>
        <w:tab/>
      </w:r>
      <w:r w:rsidR="00DD4FAA">
        <w:t xml:space="preserve">По подразделу 1003 «Социальное обеспечение населения» за 2011 год </w:t>
      </w:r>
      <w:r w:rsidR="00062BD5">
        <w:t xml:space="preserve">исполнение бюджета района </w:t>
      </w:r>
      <w:r w:rsidR="00DD4FAA">
        <w:t>составило 36 643 тыс. рублей</w:t>
      </w:r>
      <w:r w:rsidR="008E20EF">
        <w:t xml:space="preserve"> в место 41 219 тыс. руб., снижение данного показателя связано в основном за счет уменьшения субвенции на осуществление государственных полномочий по предоставлению гражданам субсидий на оплату жилых помещений и коммунальных услуг  (фактическое количество граждан обратившихся для оплаты льгот по жилищно-коммунальным услугам</w:t>
      </w:r>
      <w:r w:rsidR="00265363">
        <w:t xml:space="preserve"> меньше запланированного).</w:t>
      </w:r>
    </w:p>
    <w:p w:rsidR="00265363" w:rsidRDefault="00265363" w:rsidP="00F3763B">
      <w:pPr>
        <w:jc w:val="both"/>
      </w:pPr>
      <w:r>
        <w:t>По подразделу 1004</w:t>
      </w:r>
      <w:r w:rsidR="00062BD5">
        <w:t xml:space="preserve"> «</w:t>
      </w:r>
      <w:r>
        <w:t xml:space="preserve"> Охрана семьи и детства</w:t>
      </w:r>
      <w:r w:rsidR="00062BD5">
        <w:t>»</w:t>
      </w:r>
      <w:r>
        <w:t xml:space="preserve"> исполнение составило около 100%.</w:t>
      </w:r>
    </w:p>
    <w:p w:rsidR="00DD4FAA" w:rsidRDefault="00062BD5" w:rsidP="00F3763B">
      <w:pPr>
        <w:jc w:val="both"/>
      </w:pPr>
      <w:r>
        <w:tab/>
      </w:r>
      <w:r w:rsidR="00265363">
        <w:t>По подразделу 1006 «Другие вопросы в области социальной политики» исполнение составило 100 проце</w:t>
      </w:r>
      <w:r>
        <w:t>нтов в сумме 568 тыс. рублей (</w:t>
      </w:r>
      <w:r w:rsidR="00265363">
        <w:t>осуществление областных государственных полномочий по определению персонального состава и обеспечение деятельности районных (городских), комиссий по делам несовершеннолетних и защите их прав</w:t>
      </w:r>
      <w:r>
        <w:t>)</w:t>
      </w:r>
      <w:r w:rsidR="00265363">
        <w:t>.</w:t>
      </w:r>
      <w:r w:rsidR="008E20EF">
        <w:t xml:space="preserve"> </w:t>
      </w:r>
    </w:p>
    <w:p w:rsidR="00265363" w:rsidRDefault="00265363" w:rsidP="00F3763B">
      <w:pPr>
        <w:jc w:val="both"/>
      </w:pPr>
    </w:p>
    <w:p w:rsidR="00C57BF3" w:rsidRDefault="00C57BF3" w:rsidP="00C57BF3">
      <w:pPr>
        <w:jc w:val="center"/>
        <w:rPr>
          <w:b/>
        </w:rPr>
      </w:pPr>
      <w:r>
        <w:rPr>
          <w:b/>
        </w:rPr>
        <w:t>Анализ состояния дебиторской и кредиторской задолженности бюджета муниципального образования «Нижнеилимский район».</w:t>
      </w:r>
    </w:p>
    <w:p w:rsidR="00C57BF3" w:rsidRDefault="00C57BF3" w:rsidP="003E6508">
      <w:pPr>
        <w:jc w:val="both"/>
        <w:rPr>
          <w:b/>
        </w:rPr>
      </w:pPr>
    </w:p>
    <w:p w:rsidR="00C57BF3" w:rsidRPr="003E6508" w:rsidRDefault="00C57BF3" w:rsidP="003E6508">
      <w:pPr>
        <w:jc w:val="both"/>
        <w:rPr>
          <w:b/>
        </w:rPr>
      </w:pPr>
      <w:r>
        <w:rPr>
          <w:b/>
        </w:rPr>
        <w:t>Кредиторская задолженность</w:t>
      </w:r>
      <w:r w:rsidR="003E6508">
        <w:rPr>
          <w:b/>
        </w:rPr>
        <w:t xml:space="preserve"> </w:t>
      </w:r>
      <w:r w:rsidR="003E6508">
        <w:t>по обязательствам районного бюджета с</w:t>
      </w:r>
      <w:r>
        <w:t>огласно сведениям по кредиторск</w:t>
      </w:r>
      <w:r w:rsidR="00C95F6A">
        <w:t>о</w:t>
      </w:r>
      <w:r w:rsidR="00062BD5">
        <w:t xml:space="preserve">й задолженности  бюджета (формы </w:t>
      </w:r>
      <w:r w:rsidR="00C95F6A">
        <w:t>05031</w:t>
      </w:r>
      <w:r>
        <w:t>69), баланса исполнения консолидированного бюджета муниципального образования « Нижнеилимский район» за 2011</w:t>
      </w:r>
      <w:r w:rsidR="003E6508">
        <w:t>год (фо</w:t>
      </w:r>
      <w:r w:rsidR="00062BD5">
        <w:t xml:space="preserve">рмы </w:t>
      </w:r>
      <w:r w:rsidR="00C95F6A">
        <w:t>0503120),</w:t>
      </w:r>
      <w:r w:rsidR="003E6508">
        <w:t xml:space="preserve"> в целом по муниципальному образованию</w:t>
      </w:r>
      <w:r>
        <w:t xml:space="preserve"> составила 739</w:t>
      </w:r>
      <w:r w:rsidR="003E6508">
        <w:t xml:space="preserve"> </w:t>
      </w:r>
      <w:r>
        <w:t xml:space="preserve">852,6 тыс. руб., что подтверждено данными счетов 130200000 «Расчеты по принятым  обязательствам», 130300000 «Расчеты по платежам в бюджеты», 130400000 «Прочие расчеты с кредиторами». Данная сумма сложилась из кредиторской </w:t>
      </w:r>
      <w:r>
        <w:lastRenderedPageBreak/>
        <w:t>задолженности по бюджетной деятельности в размере 730 972,13 тыс. руб. и по</w:t>
      </w:r>
      <w:r w:rsidR="003E6508">
        <w:t xml:space="preserve"> приносящей доход деятельности </w:t>
      </w:r>
      <w:r>
        <w:t xml:space="preserve"> 8880,47 тыс.</w:t>
      </w:r>
      <w:r w:rsidR="003E6508">
        <w:t xml:space="preserve"> </w:t>
      </w:r>
      <w:r>
        <w:t>руб.</w:t>
      </w:r>
    </w:p>
    <w:p w:rsidR="00C57BF3" w:rsidRDefault="00C57BF3" w:rsidP="003E6508">
      <w:pPr>
        <w:jc w:val="both"/>
      </w:pPr>
      <w:r>
        <w:t xml:space="preserve">        По сравнению с соответствующим периодом предыдущего года (828</w:t>
      </w:r>
      <w:r w:rsidR="003E6508">
        <w:t xml:space="preserve"> </w:t>
      </w:r>
      <w:r>
        <w:t>283,87 тыс.</w:t>
      </w:r>
      <w:r w:rsidR="003E6508">
        <w:t xml:space="preserve"> </w:t>
      </w:r>
      <w:r>
        <w:t>руб.) кредиторская задолженности уменьшилась на 88 431,27 тыс</w:t>
      </w:r>
      <w:r w:rsidR="003E6508">
        <w:t xml:space="preserve"> </w:t>
      </w:r>
      <w:r w:rsidR="00C95F6A">
        <w:t>.руб. или на 10,68 % .</w:t>
      </w:r>
      <w:r>
        <w:t xml:space="preserve"> </w:t>
      </w:r>
      <w:r w:rsidR="003E6508">
        <w:t xml:space="preserve">Данные представлены в таблице №5 </w:t>
      </w:r>
    </w:p>
    <w:p w:rsidR="003E6508" w:rsidRDefault="003E6508" w:rsidP="00C57BF3">
      <w:pPr>
        <w:jc w:val="both"/>
      </w:pPr>
    </w:p>
    <w:p w:rsidR="00C57BF3" w:rsidRDefault="003E6508" w:rsidP="00C57BF3">
      <w:pPr>
        <w:jc w:val="both"/>
      </w:pPr>
      <w:r>
        <w:t xml:space="preserve">                                                                                                             Таблица №</w:t>
      </w:r>
      <w:r w:rsidR="00264299">
        <w:t>7</w:t>
      </w:r>
      <w:r w:rsidR="00C57BF3">
        <w:t xml:space="preserve"> (тыс.руб.)</w:t>
      </w:r>
    </w:p>
    <w:p w:rsidR="003E6508" w:rsidRDefault="003E6508" w:rsidP="00C57BF3">
      <w:pPr>
        <w:jc w:val="both"/>
      </w:pPr>
    </w:p>
    <w:tbl>
      <w:tblPr>
        <w:tblStyle w:val="a3"/>
        <w:tblW w:w="0" w:type="auto"/>
        <w:tblInd w:w="-34" w:type="dxa"/>
        <w:tblLook w:val="04A0"/>
      </w:tblPr>
      <w:tblGrid>
        <w:gridCol w:w="3172"/>
        <w:gridCol w:w="1598"/>
        <w:gridCol w:w="1594"/>
        <w:gridCol w:w="1676"/>
        <w:gridCol w:w="1565"/>
      </w:tblGrid>
      <w:tr w:rsidR="00C57BF3" w:rsidTr="00C57BF3"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57BF3" w:rsidRPr="004A029D" w:rsidRDefault="00C57BF3" w:rsidP="00C57BF3">
            <w:r w:rsidRPr="004A029D">
              <w:t xml:space="preserve">Вид </w:t>
            </w:r>
            <w:r>
              <w:t>кредиторской</w:t>
            </w:r>
            <w:r w:rsidRPr="004A029D">
              <w:t xml:space="preserve"> задолженности</w:t>
            </w:r>
          </w:p>
        </w:tc>
        <w:tc>
          <w:tcPr>
            <w:tcW w:w="3194" w:type="dxa"/>
            <w:gridSpan w:val="2"/>
            <w:tcBorders>
              <w:top w:val="doub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На 01.01.2011г</w:t>
            </w:r>
          </w:p>
        </w:tc>
        <w:tc>
          <w:tcPr>
            <w:tcW w:w="319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На 01.01.2012г</w:t>
            </w:r>
          </w:p>
        </w:tc>
      </w:tr>
      <w:tr w:rsidR="00C57BF3" w:rsidTr="00C57BF3">
        <w:trPr>
          <w:trHeight w:val="847"/>
        </w:trPr>
        <w:tc>
          <w:tcPr>
            <w:tcW w:w="3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57BF3" w:rsidRDefault="00C57BF3" w:rsidP="00C57BF3"/>
          <w:p w:rsidR="00C57BF3" w:rsidRDefault="00C57BF3" w:rsidP="00C57BF3"/>
          <w:p w:rsidR="00C57BF3" w:rsidRDefault="00C57BF3" w:rsidP="00C57BF3"/>
          <w:p w:rsidR="00C57BF3" w:rsidRDefault="00C57BF3" w:rsidP="00C57BF3"/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Бюджетная деятельность</w:t>
            </w:r>
          </w:p>
          <w:p w:rsidR="00C57BF3" w:rsidRPr="004A029D" w:rsidRDefault="00C57BF3" w:rsidP="00C57BF3">
            <w:pPr>
              <w:jc w:val="center"/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Приносящая доход деятельность</w:t>
            </w:r>
          </w:p>
          <w:p w:rsidR="00C57BF3" w:rsidRPr="004A029D" w:rsidRDefault="00C57BF3" w:rsidP="00C57BF3">
            <w:pPr>
              <w:jc w:val="center"/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Бюджетная деятельность</w:t>
            </w:r>
          </w:p>
          <w:p w:rsidR="00C57BF3" w:rsidRPr="004A029D" w:rsidRDefault="00C57BF3" w:rsidP="00C57BF3">
            <w:pPr>
              <w:jc w:val="center"/>
            </w:pPr>
          </w:p>
          <w:p w:rsidR="00C57BF3" w:rsidRPr="004A029D" w:rsidRDefault="00C57BF3" w:rsidP="00C57BF3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Приносящая доход деятельность</w:t>
            </w:r>
          </w:p>
          <w:p w:rsidR="00C57BF3" w:rsidRPr="004A029D" w:rsidRDefault="00C57BF3" w:rsidP="00C57BF3">
            <w:pPr>
              <w:jc w:val="center"/>
            </w:pPr>
          </w:p>
        </w:tc>
      </w:tr>
      <w:tr w:rsidR="00C57BF3" w:rsidTr="00C57BF3">
        <w:trPr>
          <w:trHeight w:val="765"/>
        </w:trPr>
        <w:tc>
          <w:tcPr>
            <w:tcW w:w="3221" w:type="dxa"/>
            <w:tcBorders>
              <w:top w:val="single" w:sz="4" w:space="0" w:color="auto"/>
              <w:left w:val="double" w:sz="4" w:space="0" w:color="auto"/>
            </w:tcBorders>
          </w:tcPr>
          <w:p w:rsidR="00C57BF3" w:rsidRPr="004A029D" w:rsidRDefault="00C57BF3" w:rsidP="00C57BF3">
            <w:r w:rsidRPr="004A029D">
              <w:t xml:space="preserve">Расчеты </w:t>
            </w:r>
            <w:r>
              <w:t>по принятым обязательствам</w:t>
            </w:r>
          </w:p>
        </w:tc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>
              <w:t>151581,59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>
              <w:t>5793,55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>
              <w:t>117987,58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>
              <w:t>8559,77</w:t>
            </w:r>
          </w:p>
        </w:tc>
      </w:tr>
      <w:tr w:rsidR="00C57BF3" w:rsidTr="00C57BF3">
        <w:tc>
          <w:tcPr>
            <w:tcW w:w="3221" w:type="dxa"/>
            <w:tcBorders>
              <w:left w:val="double" w:sz="4" w:space="0" w:color="auto"/>
            </w:tcBorders>
          </w:tcPr>
          <w:p w:rsidR="00C57BF3" w:rsidRPr="004A029D" w:rsidRDefault="00C57BF3" w:rsidP="00C57BF3">
            <w:r w:rsidRPr="004A029D">
              <w:t xml:space="preserve">Расчеты </w:t>
            </w:r>
            <w:r>
              <w:t>по платежам в бюджеты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>
              <w:t>674822,43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>
              <w:t>-4623,67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>
              <w:t>612428,16</w:t>
            </w:r>
          </w:p>
        </w:tc>
        <w:tc>
          <w:tcPr>
            <w:tcW w:w="1510" w:type="dxa"/>
            <w:tcBorders>
              <w:left w:val="single" w:sz="4" w:space="0" w:color="auto"/>
              <w:right w:val="doub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>
              <w:t>311,65</w:t>
            </w:r>
          </w:p>
        </w:tc>
      </w:tr>
      <w:tr w:rsidR="00C57BF3" w:rsidTr="00C57BF3">
        <w:tc>
          <w:tcPr>
            <w:tcW w:w="3221" w:type="dxa"/>
            <w:tcBorders>
              <w:left w:val="double" w:sz="4" w:space="0" w:color="auto"/>
            </w:tcBorders>
          </w:tcPr>
          <w:p w:rsidR="00C57BF3" w:rsidRPr="004A029D" w:rsidRDefault="00C57BF3" w:rsidP="00C57BF3">
            <w:r w:rsidRPr="004A029D">
              <w:t xml:space="preserve">Расчеты с </w:t>
            </w:r>
            <w:r>
              <w:t>кредиторами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>
              <w:t>719,68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>
              <w:t>-9,7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>
              <w:t>556,39</w:t>
            </w:r>
          </w:p>
        </w:tc>
        <w:tc>
          <w:tcPr>
            <w:tcW w:w="1510" w:type="dxa"/>
            <w:tcBorders>
              <w:left w:val="single" w:sz="4" w:space="0" w:color="auto"/>
              <w:right w:val="doub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>
              <w:t>9,05</w:t>
            </w:r>
          </w:p>
        </w:tc>
      </w:tr>
      <w:tr w:rsidR="00C57BF3" w:rsidTr="00C57BF3">
        <w:tc>
          <w:tcPr>
            <w:tcW w:w="3221" w:type="dxa"/>
            <w:tcBorders>
              <w:left w:val="double" w:sz="4" w:space="0" w:color="auto"/>
              <w:bottom w:val="double" w:sz="4" w:space="0" w:color="auto"/>
            </w:tcBorders>
          </w:tcPr>
          <w:p w:rsidR="00C57BF3" w:rsidRPr="004A029D" w:rsidRDefault="00C57BF3" w:rsidP="00C57BF3">
            <w:r>
              <w:t>Итого:</w:t>
            </w:r>
          </w:p>
        </w:tc>
        <w:tc>
          <w:tcPr>
            <w:tcW w:w="1599" w:type="dxa"/>
            <w:tcBorders>
              <w:bottom w:val="double" w:sz="4" w:space="0" w:color="auto"/>
              <w:righ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>
              <w:t>827123,7</w:t>
            </w:r>
          </w:p>
        </w:tc>
        <w:tc>
          <w:tcPr>
            <w:tcW w:w="1595" w:type="dxa"/>
            <w:tcBorders>
              <w:left w:val="single" w:sz="4" w:space="0" w:color="auto"/>
              <w:bottom w:val="doub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>
              <w:t>1160,18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>
              <w:t>730972,13</w:t>
            </w:r>
          </w:p>
        </w:tc>
        <w:tc>
          <w:tcPr>
            <w:tcW w:w="15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>
              <w:t>8880,47</w:t>
            </w:r>
          </w:p>
        </w:tc>
      </w:tr>
    </w:tbl>
    <w:p w:rsidR="00C57BF3" w:rsidRDefault="00C57BF3" w:rsidP="00C57BF3"/>
    <w:p w:rsidR="00C57BF3" w:rsidRPr="004C5548" w:rsidRDefault="00C57BF3" w:rsidP="00C57BF3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   </w:t>
      </w:r>
      <w:r w:rsidR="00C95F6A">
        <w:t xml:space="preserve">      Как видно из данной таблицы</w:t>
      </w:r>
      <w:r>
        <w:t>,  н</w:t>
      </w:r>
      <w:r w:rsidR="00C95F6A">
        <w:t>аибольший удельный вес – 77,7% или</w:t>
      </w:r>
      <w:r>
        <w:t xml:space="preserve"> 612</w:t>
      </w:r>
      <w:r w:rsidR="007810E9">
        <w:t xml:space="preserve"> </w:t>
      </w:r>
      <w:r>
        <w:t>739,81 тыс. руб.   занимают расчеты по платежам в бюджеты, которые сложились з</w:t>
      </w:r>
      <w:r w:rsidR="00C95F6A">
        <w:t xml:space="preserve">а счет бюджетной деятельности </w:t>
      </w:r>
      <w:r w:rsidR="007810E9">
        <w:t>в сумме</w:t>
      </w:r>
      <w:r w:rsidR="00C95F6A">
        <w:t xml:space="preserve"> </w:t>
      </w:r>
      <w:r>
        <w:t>612</w:t>
      </w:r>
      <w:r w:rsidR="007810E9">
        <w:t xml:space="preserve"> </w:t>
      </w:r>
      <w:r>
        <w:t>428,16 тыс.</w:t>
      </w:r>
      <w:r w:rsidR="00C95F6A">
        <w:t xml:space="preserve"> </w:t>
      </w:r>
      <w:r>
        <w:t>руб. и по</w:t>
      </w:r>
      <w:r w:rsidR="00C95F6A">
        <w:t xml:space="preserve"> приносящей доход деятельности</w:t>
      </w:r>
      <w:r w:rsidR="007810E9">
        <w:t xml:space="preserve"> - </w:t>
      </w:r>
      <w:r w:rsidR="00C95F6A">
        <w:t xml:space="preserve"> </w:t>
      </w:r>
      <w:r>
        <w:t>311,65 тыс.</w:t>
      </w:r>
      <w:r w:rsidR="00C95F6A">
        <w:t xml:space="preserve"> </w:t>
      </w:r>
      <w:r>
        <w:t>руб</w:t>
      </w:r>
      <w:r w:rsidR="004C5548">
        <w:t>.</w:t>
      </w:r>
    </w:p>
    <w:p w:rsidR="00C57BF3" w:rsidRDefault="00C57BF3" w:rsidP="004C5548">
      <w:pPr>
        <w:jc w:val="both"/>
      </w:pPr>
      <w:r>
        <w:t xml:space="preserve">         </w:t>
      </w:r>
    </w:p>
    <w:p w:rsidR="00C57BF3" w:rsidRDefault="00C57BF3" w:rsidP="00C57BF3">
      <w:pPr>
        <w:rPr>
          <w:b/>
        </w:rPr>
      </w:pPr>
      <w:r w:rsidRPr="00A517E9">
        <w:rPr>
          <w:b/>
        </w:rPr>
        <w:t>Дебиторская задолженност</w:t>
      </w:r>
      <w:r>
        <w:rPr>
          <w:b/>
        </w:rPr>
        <w:t>ь</w:t>
      </w:r>
    </w:p>
    <w:p w:rsidR="00C57BF3" w:rsidRPr="00FB000F" w:rsidRDefault="00C57BF3" w:rsidP="00C57BF3">
      <w:pPr>
        <w:jc w:val="both"/>
        <w:rPr>
          <w:b/>
        </w:rPr>
      </w:pPr>
      <w:r>
        <w:t xml:space="preserve">      Согласно  сведениям по  дебиторской задолженности (форм</w:t>
      </w:r>
      <w:r w:rsidR="004C5548">
        <w:t>ы</w:t>
      </w:r>
      <w:r>
        <w:t xml:space="preserve"> 0503169), баланса исполнения консолидированного бюджета муниципального образования «Нижнеилимский район» за 2011год (форм</w:t>
      </w:r>
      <w:r w:rsidR="004C5548">
        <w:t>ы</w:t>
      </w:r>
      <w:r>
        <w:t xml:space="preserve"> 0503120) дебиторская задолженность сложилась в целом по муницип</w:t>
      </w:r>
      <w:r w:rsidR="004C5548">
        <w:t>альному образованию</w:t>
      </w:r>
      <w:r>
        <w:t xml:space="preserve"> по состоянию на 01.01.2011г: -6593,86 тыс.руб., в течение финансового года она снизилась на сумму 7418,36 тыс. (или на 115%) и  составила   824,51 тыс.руб.</w:t>
      </w:r>
    </w:p>
    <w:p w:rsidR="00C57BF3" w:rsidRDefault="00C57BF3" w:rsidP="00C57BF3">
      <w:pPr>
        <w:jc w:val="right"/>
      </w:pPr>
      <w:r>
        <w:t>Таблица №</w:t>
      </w:r>
      <w:r w:rsidR="004D39E8">
        <w:t>8</w:t>
      </w:r>
      <w:r>
        <w:t xml:space="preserve"> (тыс.руб)</w:t>
      </w:r>
    </w:p>
    <w:tbl>
      <w:tblPr>
        <w:tblStyle w:val="a3"/>
        <w:tblW w:w="0" w:type="auto"/>
        <w:tblInd w:w="108" w:type="dxa"/>
        <w:tblLook w:val="04A0"/>
      </w:tblPr>
      <w:tblGrid>
        <w:gridCol w:w="3030"/>
        <w:gridCol w:w="1598"/>
        <w:gridCol w:w="1594"/>
        <w:gridCol w:w="1676"/>
        <w:gridCol w:w="1565"/>
      </w:tblGrid>
      <w:tr w:rsidR="00C57BF3" w:rsidTr="00C57BF3">
        <w:tc>
          <w:tcPr>
            <w:tcW w:w="3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57BF3" w:rsidRPr="004A029D" w:rsidRDefault="00C57BF3" w:rsidP="00C57BF3">
            <w:r w:rsidRPr="004A029D">
              <w:t>Вид дебиторской задолженности</w:t>
            </w:r>
          </w:p>
        </w:tc>
        <w:tc>
          <w:tcPr>
            <w:tcW w:w="3194" w:type="dxa"/>
            <w:gridSpan w:val="2"/>
            <w:tcBorders>
              <w:top w:val="doub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На 01.01.2011г</w:t>
            </w:r>
          </w:p>
        </w:tc>
        <w:tc>
          <w:tcPr>
            <w:tcW w:w="319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На 01.01.2012г</w:t>
            </w:r>
          </w:p>
        </w:tc>
      </w:tr>
      <w:tr w:rsidR="00C57BF3" w:rsidTr="00C57BF3">
        <w:trPr>
          <w:trHeight w:val="847"/>
        </w:trPr>
        <w:tc>
          <w:tcPr>
            <w:tcW w:w="3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57BF3" w:rsidRDefault="00C57BF3" w:rsidP="00C57BF3"/>
          <w:p w:rsidR="00C57BF3" w:rsidRDefault="00C57BF3" w:rsidP="00C57BF3"/>
          <w:p w:rsidR="00C57BF3" w:rsidRDefault="00C57BF3" w:rsidP="00C57BF3"/>
          <w:p w:rsidR="00C57BF3" w:rsidRDefault="00C57BF3" w:rsidP="00C57BF3"/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Бюджетная деятельность</w:t>
            </w:r>
          </w:p>
          <w:p w:rsidR="00C57BF3" w:rsidRPr="004A029D" w:rsidRDefault="00C57BF3" w:rsidP="00C57BF3">
            <w:pPr>
              <w:jc w:val="center"/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Приносящая доход деятельность</w:t>
            </w:r>
          </w:p>
          <w:p w:rsidR="00C57BF3" w:rsidRPr="004A029D" w:rsidRDefault="00C57BF3" w:rsidP="00C57BF3">
            <w:pPr>
              <w:jc w:val="center"/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Бюджетная деятельность</w:t>
            </w:r>
          </w:p>
          <w:p w:rsidR="00C57BF3" w:rsidRPr="004A029D" w:rsidRDefault="00C57BF3" w:rsidP="00C57BF3">
            <w:pPr>
              <w:jc w:val="center"/>
            </w:pPr>
          </w:p>
          <w:p w:rsidR="00C57BF3" w:rsidRPr="004A029D" w:rsidRDefault="00C57BF3" w:rsidP="00C57BF3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Приносящая доход деятельность</w:t>
            </w:r>
          </w:p>
          <w:p w:rsidR="00C57BF3" w:rsidRPr="004A029D" w:rsidRDefault="00C57BF3" w:rsidP="00C57BF3">
            <w:pPr>
              <w:jc w:val="center"/>
            </w:pPr>
          </w:p>
        </w:tc>
      </w:tr>
      <w:tr w:rsidR="00C57BF3" w:rsidTr="00C57BF3">
        <w:trPr>
          <w:trHeight w:val="765"/>
        </w:trPr>
        <w:tc>
          <w:tcPr>
            <w:tcW w:w="3079" w:type="dxa"/>
            <w:tcBorders>
              <w:top w:val="single" w:sz="4" w:space="0" w:color="auto"/>
              <w:left w:val="double" w:sz="4" w:space="0" w:color="auto"/>
            </w:tcBorders>
          </w:tcPr>
          <w:p w:rsidR="00C57BF3" w:rsidRPr="004A029D" w:rsidRDefault="00C57BF3" w:rsidP="00C57BF3">
            <w:r w:rsidRPr="004A029D">
              <w:t>Расчеты с дебиторами по доходам</w:t>
            </w:r>
          </w:p>
        </w:tc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1035,7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-887,51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190,19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2816,03</w:t>
            </w:r>
          </w:p>
        </w:tc>
      </w:tr>
      <w:tr w:rsidR="00C57BF3" w:rsidTr="00C57BF3">
        <w:tc>
          <w:tcPr>
            <w:tcW w:w="3079" w:type="dxa"/>
            <w:tcBorders>
              <w:left w:val="double" w:sz="4" w:space="0" w:color="auto"/>
            </w:tcBorders>
          </w:tcPr>
          <w:p w:rsidR="00C57BF3" w:rsidRPr="004A029D" w:rsidRDefault="00C57BF3" w:rsidP="00C57BF3">
            <w:r w:rsidRPr="004A029D">
              <w:t>Расчеты по выданным авансам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2039,54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1284,93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3045,93</w:t>
            </w:r>
          </w:p>
        </w:tc>
        <w:tc>
          <w:tcPr>
            <w:tcW w:w="1510" w:type="dxa"/>
            <w:tcBorders>
              <w:left w:val="single" w:sz="4" w:space="0" w:color="auto"/>
              <w:right w:val="doub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1379,83</w:t>
            </w:r>
          </w:p>
        </w:tc>
      </w:tr>
      <w:tr w:rsidR="00C57BF3" w:rsidTr="00C57BF3">
        <w:tc>
          <w:tcPr>
            <w:tcW w:w="3079" w:type="dxa"/>
            <w:tcBorders>
              <w:left w:val="double" w:sz="4" w:space="0" w:color="auto"/>
            </w:tcBorders>
          </w:tcPr>
          <w:p w:rsidR="00C57BF3" w:rsidRPr="004A029D" w:rsidRDefault="00C57BF3" w:rsidP="00C57BF3">
            <w:r w:rsidRPr="004A029D">
              <w:t>Расчеты с подотчетными лицами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-10049,57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-93,66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-6733,32</w:t>
            </w:r>
          </w:p>
        </w:tc>
        <w:tc>
          <w:tcPr>
            <w:tcW w:w="1510" w:type="dxa"/>
            <w:tcBorders>
              <w:left w:val="single" w:sz="4" w:space="0" w:color="auto"/>
              <w:right w:val="doub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-36,3</w:t>
            </w:r>
          </w:p>
        </w:tc>
      </w:tr>
      <w:tr w:rsidR="00C57BF3" w:rsidTr="00C57BF3">
        <w:tc>
          <w:tcPr>
            <w:tcW w:w="3079" w:type="dxa"/>
            <w:tcBorders>
              <w:left w:val="double" w:sz="4" w:space="0" w:color="auto"/>
            </w:tcBorders>
          </w:tcPr>
          <w:p w:rsidR="00C57BF3" w:rsidRPr="004A029D" w:rsidRDefault="00C57BF3" w:rsidP="00C57BF3">
            <w:r w:rsidRPr="004A029D">
              <w:t>Расчеты по ущербу имуществу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29,54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47,17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122,79</w:t>
            </w:r>
          </w:p>
        </w:tc>
        <w:tc>
          <w:tcPr>
            <w:tcW w:w="1510" w:type="dxa"/>
            <w:tcBorders>
              <w:left w:val="single" w:sz="4" w:space="0" w:color="auto"/>
              <w:right w:val="double" w:sz="4" w:space="0" w:color="auto"/>
            </w:tcBorders>
          </w:tcPr>
          <w:p w:rsidR="00C57BF3" w:rsidRPr="004A029D" w:rsidRDefault="00C57BF3" w:rsidP="00C57BF3">
            <w:pPr>
              <w:jc w:val="center"/>
            </w:pPr>
            <w:r w:rsidRPr="004A029D">
              <w:t>39,36</w:t>
            </w:r>
          </w:p>
        </w:tc>
      </w:tr>
      <w:tr w:rsidR="00C57BF3" w:rsidTr="00C57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079" w:type="dxa"/>
            <w:tcBorders>
              <w:left w:val="double" w:sz="4" w:space="0" w:color="auto"/>
              <w:bottom w:val="double" w:sz="4" w:space="0" w:color="auto"/>
            </w:tcBorders>
          </w:tcPr>
          <w:p w:rsidR="00C57BF3" w:rsidRDefault="00C57BF3" w:rsidP="00C57BF3">
            <w:pPr>
              <w:ind w:left="426"/>
            </w:pPr>
            <w:r>
              <w:t xml:space="preserve">Итого </w:t>
            </w:r>
          </w:p>
        </w:tc>
        <w:tc>
          <w:tcPr>
            <w:tcW w:w="1599" w:type="dxa"/>
            <w:tcBorders>
              <w:bottom w:val="double" w:sz="4" w:space="0" w:color="auto"/>
            </w:tcBorders>
          </w:tcPr>
          <w:p w:rsidR="00C57BF3" w:rsidRPr="004A029D" w:rsidRDefault="00C57BF3" w:rsidP="00C57BF3">
            <w:pPr>
              <w:ind w:left="215"/>
              <w:jc w:val="both"/>
            </w:pPr>
            <w:r w:rsidRPr="004A029D">
              <w:t>-6944,79</w:t>
            </w: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C57BF3" w:rsidRPr="004A029D" w:rsidRDefault="00C57BF3" w:rsidP="00C57BF3">
            <w:pPr>
              <w:ind w:left="543" w:hanging="226"/>
              <w:jc w:val="both"/>
            </w:pPr>
            <w:r w:rsidRPr="004A029D">
              <w:t>350,93</w:t>
            </w: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:rsidR="00C57BF3" w:rsidRPr="004A029D" w:rsidRDefault="00C57BF3" w:rsidP="00C57BF3">
            <w:pPr>
              <w:ind w:left="282"/>
            </w:pPr>
            <w:r w:rsidRPr="004A029D">
              <w:t>-337</w:t>
            </w:r>
            <w:r>
              <w:t>4</w:t>
            </w:r>
            <w:r w:rsidRPr="004A029D">
              <w:t>,</w:t>
            </w:r>
            <w:r>
              <w:t>41</w:t>
            </w:r>
          </w:p>
        </w:tc>
        <w:tc>
          <w:tcPr>
            <w:tcW w:w="1510" w:type="dxa"/>
            <w:tcBorders>
              <w:bottom w:val="double" w:sz="4" w:space="0" w:color="auto"/>
              <w:right w:val="double" w:sz="4" w:space="0" w:color="auto"/>
            </w:tcBorders>
          </w:tcPr>
          <w:p w:rsidR="00C57BF3" w:rsidRPr="004A029D" w:rsidRDefault="00C57BF3" w:rsidP="00C57BF3">
            <w:pPr>
              <w:ind w:left="303"/>
            </w:pPr>
            <w:r w:rsidRPr="004A029D">
              <w:t>4198,92</w:t>
            </w:r>
          </w:p>
        </w:tc>
      </w:tr>
    </w:tbl>
    <w:p w:rsidR="00C57BF3" w:rsidRDefault="00C57BF3" w:rsidP="00C57BF3">
      <w:pPr>
        <w:jc w:val="center"/>
      </w:pPr>
    </w:p>
    <w:p w:rsidR="00C57BF3" w:rsidRDefault="00C57BF3" w:rsidP="00C57BF3">
      <w:pPr>
        <w:jc w:val="both"/>
      </w:pPr>
      <w:r>
        <w:t xml:space="preserve">      Как видно из таблицы №</w:t>
      </w:r>
      <w:r w:rsidR="004D39E8">
        <w:t>8</w:t>
      </w:r>
      <w:r>
        <w:t>, наибольший удельный вес</w:t>
      </w:r>
      <w:r w:rsidR="004D39E8">
        <w:t xml:space="preserve"> на 01.01.2012г</w:t>
      </w:r>
      <w:r>
        <w:t xml:space="preserve">  занимают расчеты с подотчетными лицами (-6</w:t>
      </w:r>
      <w:r w:rsidR="004D39E8">
        <w:t xml:space="preserve"> </w:t>
      </w:r>
      <w:r>
        <w:t>769,62 тыс. руб.), уменьшение  дебиторской  задолженности произошло за счет погашения задолженности по подотчетны</w:t>
      </w:r>
      <w:r w:rsidR="004D39E8">
        <w:t xml:space="preserve">м лицам на 3316,25 тыс. руб. </w:t>
      </w:r>
      <w:r>
        <w:t>или  на 67%.</w:t>
      </w:r>
    </w:p>
    <w:p w:rsidR="00C57BF3" w:rsidRDefault="00C57BF3" w:rsidP="00C57BF3">
      <w:pPr>
        <w:tabs>
          <w:tab w:val="left" w:pos="480"/>
        </w:tabs>
        <w:jc w:val="both"/>
      </w:pPr>
      <w:r>
        <w:t xml:space="preserve">       </w:t>
      </w:r>
      <w:r w:rsidR="004D39E8">
        <w:t xml:space="preserve">   Сравнительный анализ с 2010г.</w:t>
      </w:r>
      <w:r>
        <w:t xml:space="preserve"> показал снижение в 2011г суммы просроченной кредиторской задолженности на 10,9% или 84</w:t>
      </w:r>
      <w:r w:rsidR="004D39E8">
        <w:t xml:space="preserve"> </w:t>
      </w:r>
      <w:r>
        <w:t>386 тыс.руб. По состоянию на 01.01.2012г объем просроченной кредиторской задолженности бюджета района составил 688 503 тыс.руб. Вместе с тем, снижение кредиторской задолженности за 2011г произошло по всем направлениям, в том числе снижение по социально-значимым (выплата заработной платы и оказание мер социальной поддержки отдельным категориям граждан) составило 45909 тыс.</w:t>
      </w:r>
      <w:r w:rsidR="004D39E8">
        <w:t xml:space="preserve"> </w:t>
      </w:r>
      <w:r>
        <w:t>руб.</w:t>
      </w:r>
    </w:p>
    <w:p w:rsidR="004C5548" w:rsidRDefault="004C5548" w:rsidP="004C5548">
      <w:pPr>
        <w:jc w:val="both"/>
      </w:pPr>
      <w:r>
        <w:tab/>
        <w:t xml:space="preserve">Вместе с тем, снижение  кредиторской задолженности явилось одним из условий получения суммы межбюджетных трансфертов из областного бюджета в целях финансовой поддержки муниципальных образований Иркутской области, осуществляющих эффективное управление бюджетными средствами в размере  18 771 тыс руб. (Закон Иркутской области от 09.12.2011г № 128-оз «»Об областном бюджете на 2011 год». </w:t>
      </w:r>
    </w:p>
    <w:p w:rsidR="00C57BF3" w:rsidRDefault="00C57BF3" w:rsidP="004C5548">
      <w:pPr>
        <w:tabs>
          <w:tab w:val="left" w:pos="486"/>
        </w:tabs>
      </w:pPr>
    </w:p>
    <w:p w:rsidR="00C57BF3" w:rsidRDefault="00C57BF3" w:rsidP="00C57BF3">
      <w:pPr>
        <w:jc w:val="center"/>
      </w:pPr>
    </w:p>
    <w:p w:rsidR="00274D13" w:rsidRPr="00862121" w:rsidRDefault="00274D13" w:rsidP="00D93C35">
      <w:pPr>
        <w:jc w:val="center"/>
        <w:rPr>
          <w:b/>
        </w:rPr>
      </w:pPr>
    </w:p>
    <w:p w:rsidR="00274D13" w:rsidRPr="00862121" w:rsidRDefault="00274D13" w:rsidP="00D93C35">
      <w:pPr>
        <w:jc w:val="center"/>
        <w:rPr>
          <w:b/>
        </w:rPr>
      </w:pPr>
      <w:r w:rsidRPr="00862121">
        <w:rPr>
          <w:b/>
        </w:rPr>
        <w:t>Межбюджетные трансферты бюджетам поселений.</w:t>
      </w:r>
    </w:p>
    <w:p w:rsidR="00274D13" w:rsidRPr="00862121" w:rsidRDefault="00274D13" w:rsidP="00D93C35">
      <w:pPr>
        <w:jc w:val="center"/>
        <w:rPr>
          <w:b/>
        </w:rPr>
      </w:pPr>
    </w:p>
    <w:p w:rsidR="00274D13" w:rsidRDefault="00B70F2E" w:rsidP="00274D13">
      <w:pPr>
        <w:jc w:val="both"/>
      </w:pPr>
      <w:r>
        <w:tab/>
      </w:r>
      <w:r w:rsidR="00274D13">
        <w:t>В 2011 году в соответствии статьи 142.4 Бюджетного Кодекса РФ, Закона Иркутской области «Об межбюджетных трансфертах и нормативах отчислений доходов в местные бюджеты» из бюджета района в бюджеты поселений направлены межбюджетные трансферты в виде:</w:t>
      </w:r>
    </w:p>
    <w:p w:rsidR="00274D13" w:rsidRDefault="00274D13" w:rsidP="00274D13">
      <w:pPr>
        <w:jc w:val="both"/>
      </w:pPr>
      <w:r>
        <w:t xml:space="preserve">- </w:t>
      </w:r>
      <w:r w:rsidR="00B70F2E">
        <w:t xml:space="preserve"> </w:t>
      </w:r>
      <w:r>
        <w:t>дотации на выравнивание бюджетной обеспеченности в сумме 19 537 тыс. рублей;</w:t>
      </w:r>
    </w:p>
    <w:p w:rsidR="00274D13" w:rsidRDefault="00274D13" w:rsidP="00274D13">
      <w:pPr>
        <w:jc w:val="both"/>
      </w:pPr>
      <w:r>
        <w:t xml:space="preserve">- </w:t>
      </w:r>
      <w:r w:rsidR="00CD07B6">
        <w:t>иные межбюджетные трансферты бюджетам городских и сельских поселений, осуществляющих эффективное управление бюджетными средствами за 2011 год в сумме – 3 742 тыс. руб.</w:t>
      </w:r>
    </w:p>
    <w:p w:rsidR="00CD07B6" w:rsidRDefault="00CD07B6" w:rsidP="00274D13">
      <w:pPr>
        <w:jc w:val="both"/>
      </w:pPr>
      <w:r>
        <w:t>- дополнительная финансовая помощь в виде иных МБТ бюджетам Речушинского МО и Видимскому МО в сумме 953 тыс. рублей (проведение государственной экспертизы проектных документов по реконструкции котельной, финансовая помощь на строительство второго 4-х квартирного дома).</w:t>
      </w:r>
    </w:p>
    <w:p w:rsidR="00B70F2E" w:rsidRDefault="00B70F2E" w:rsidP="00274D13">
      <w:pPr>
        <w:jc w:val="both"/>
      </w:pPr>
      <w:r>
        <w:t>-  МБТ городским и сельским поселениям за счет средств областного бюджета на поддержку мер по обеспечению сбалансированности местных бюджетов в 2011 го</w:t>
      </w:r>
      <w:r w:rsidR="00E73AFE">
        <w:t xml:space="preserve">ду в сумме 26 501,6 тыс. рублей </w:t>
      </w:r>
      <w:r w:rsidR="00A80A7F">
        <w:t>за счет реализации проекта «Народный бюджет».</w:t>
      </w:r>
    </w:p>
    <w:p w:rsidR="00CD07B6" w:rsidRDefault="00CD07B6" w:rsidP="00274D13">
      <w:pPr>
        <w:jc w:val="both"/>
      </w:pPr>
      <w:r>
        <w:t xml:space="preserve">Общая сумма предоставленных </w:t>
      </w:r>
      <w:r w:rsidR="00B70F2E">
        <w:t>межбюджетных трансфертов в 2011 году из бюджета района бюджетам городских и сельских поселений составила 50 734 тыс. рублей.</w:t>
      </w:r>
      <w:r w:rsidR="00E73AFE">
        <w:t xml:space="preserve"> В 2010 году этот показатель составил 18 122 тыс. рублей.</w:t>
      </w:r>
    </w:p>
    <w:p w:rsidR="00A80A7F" w:rsidRDefault="00A80A7F" w:rsidP="00274D13">
      <w:pPr>
        <w:jc w:val="both"/>
      </w:pPr>
      <w:r>
        <w:t xml:space="preserve"> </w:t>
      </w:r>
    </w:p>
    <w:p w:rsidR="00A80A7F" w:rsidRPr="00862121" w:rsidRDefault="003643A4" w:rsidP="003643A4">
      <w:pPr>
        <w:jc w:val="center"/>
        <w:rPr>
          <w:b/>
        </w:rPr>
      </w:pPr>
      <w:r w:rsidRPr="00862121">
        <w:rPr>
          <w:b/>
        </w:rPr>
        <w:t>Источники внутреннего финансирования дефицита бюджета</w:t>
      </w:r>
    </w:p>
    <w:p w:rsidR="003643A4" w:rsidRDefault="003643A4" w:rsidP="003643A4">
      <w:pPr>
        <w:jc w:val="center"/>
      </w:pPr>
    </w:p>
    <w:p w:rsidR="003643A4" w:rsidRDefault="006B190C" w:rsidP="003643A4">
      <w:pPr>
        <w:jc w:val="both"/>
      </w:pPr>
      <w:r>
        <w:tab/>
      </w:r>
      <w:r w:rsidR="003643A4">
        <w:t>Дефицит районного бюджета, как отражено в форме 0503117 «Источники финансирования бюджета», был утвержден решением Думы о бюджете МО «Нижнеилимский район» в сумме 16 878 629,07 рублей, фактически составил – 5 320 517,14 рублей или 1,65% от годового объема доходов без учета безвозмездных поступлений</w:t>
      </w:r>
      <w:r w:rsidR="00D37495">
        <w:t xml:space="preserve">. Согласно разделу 3 ф. 0503117 в качестве источников внутреннего финансирования дефицита бюджета были привлечены средства в виде кредитов от других </w:t>
      </w:r>
      <w:r w:rsidR="00D37495">
        <w:lastRenderedPageBreak/>
        <w:t xml:space="preserve">бюджетов бюджетной системы Российской Федерации в сумме 3 293 тыс. </w:t>
      </w:r>
      <w:r w:rsidR="006D21C3">
        <w:t xml:space="preserve">рублей и </w:t>
      </w:r>
      <w:r>
        <w:t xml:space="preserve"> изменения остатков средств на счетах по учету средств бюджета.</w:t>
      </w:r>
      <w:r w:rsidR="00D37495">
        <w:t xml:space="preserve"> </w:t>
      </w:r>
    </w:p>
    <w:p w:rsidR="00D93C35" w:rsidRDefault="00D93C35" w:rsidP="00D93C35">
      <w:pPr>
        <w:jc w:val="center"/>
      </w:pPr>
    </w:p>
    <w:p w:rsidR="00D93C35" w:rsidRDefault="00D93C35" w:rsidP="00D93C35">
      <w:pPr>
        <w:jc w:val="both"/>
      </w:pPr>
    </w:p>
    <w:p w:rsidR="000C1988" w:rsidRPr="00862121" w:rsidRDefault="00510F07" w:rsidP="00510F07">
      <w:pPr>
        <w:jc w:val="center"/>
        <w:rPr>
          <w:b/>
        </w:rPr>
      </w:pPr>
      <w:r w:rsidRPr="00862121">
        <w:rPr>
          <w:b/>
        </w:rPr>
        <w:t>Выводы и рекомендации</w:t>
      </w:r>
    </w:p>
    <w:p w:rsidR="00510F07" w:rsidRPr="00862121" w:rsidRDefault="00510F07" w:rsidP="00510F07">
      <w:pPr>
        <w:jc w:val="center"/>
        <w:rPr>
          <w:b/>
        </w:rPr>
      </w:pPr>
    </w:p>
    <w:p w:rsidR="00510F07" w:rsidRDefault="007264F7" w:rsidP="00510F07">
      <w:pPr>
        <w:pStyle w:val="ac"/>
        <w:tabs>
          <w:tab w:val="left" w:pos="900"/>
        </w:tabs>
        <w:ind w:left="0"/>
        <w:jc w:val="both"/>
      </w:pPr>
      <w:r>
        <w:tab/>
      </w:r>
      <w:r w:rsidR="00510F07">
        <w:t>Исполнение бюджета района осуществлялось в достаточно благоприятных условиях социально-экономического развития</w:t>
      </w:r>
      <w:r w:rsidR="0012390F">
        <w:t xml:space="preserve"> МО «Нижнеилимский район»</w:t>
      </w:r>
      <w:r w:rsidR="00510F07">
        <w:t xml:space="preserve">. Данные  отдела государственной статистики </w:t>
      </w:r>
      <w:r w:rsidR="00F70359">
        <w:t>г.</w:t>
      </w:r>
      <w:r w:rsidR="00862121">
        <w:t>У</w:t>
      </w:r>
      <w:r w:rsidR="00F70359">
        <w:t xml:space="preserve">сть-Илимска (Нижнеилимский район) свидетельствуют о том, что </w:t>
      </w:r>
      <w:r w:rsidR="00510F07">
        <w:t>средняя заработная плата выросла на 13,9% к уровню 2010 года, темп роста к прогнозу 2011 года составил 109%, рост объема отгруженных товаров собственного производства, выполненных работ и услуг собственными силами в 2011 году (16 053 млн. руб.) по сравнению с 2010 годом (13 357,5млн. руб.)  составил 2 696 млн.</w:t>
      </w:r>
      <w:r w:rsidR="00E519D7">
        <w:t xml:space="preserve"> </w:t>
      </w:r>
      <w:r w:rsidR="00510F07">
        <w:t>рублей или 20,1%, прибыль прибыльных предприятий в 2011 году составила</w:t>
      </w:r>
      <w:r w:rsidR="00F70359">
        <w:t xml:space="preserve"> 6 841,2 млн. рублей, </w:t>
      </w:r>
      <w:r w:rsidR="00510F07">
        <w:t>соответствует 158,3% от факта 2010 года.</w:t>
      </w:r>
    </w:p>
    <w:p w:rsidR="00ED25BA" w:rsidRDefault="00862121" w:rsidP="00510F07">
      <w:pPr>
        <w:pStyle w:val="ac"/>
        <w:tabs>
          <w:tab w:val="left" w:pos="900"/>
        </w:tabs>
        <w:ind w:left="0"/>
        <w:jc w:val="both"/>
      </w:pPr>
      <w:r>
        <w:tab/>
      </w:r>
      <w:r w:rsidR="0016194E">
        <w:t>Указанные обстоятельства положительно повлияли на исполнение бюджета района.</w:t>
      </w:r>
      <w:r w:rsidR="00093ED7">
        <w:t xml:space="preserve"> </w:t>
      </w:r>
    </w:p>
    <w:p w:rsidR="0016194E" w:rsidRDefault="00ED25BA" w:rsidP="00510F07">
      <w:pPr>
        <w:pStyle w:val="ac"/>
        <w:tabs>
          <w:tab w:val="left" w:pos="900"/>
        </w:tabs>
        <w:ind w:left="0"/>
        <w:jc w:val="both"/>
      </w:pPr>
      <w:r>
        <w:tab/>
      </w:r>
      <w:r w:rsidR="00093ED7">
        <w:t>Вместе с тем</w:t>
      </w:r>
      <w:r w:rsidR="0012390F">
        <w:t>,</w:t>
      </w:r>
      <w:r w:rsidR="00093ED7">
        <w:t xml:space="preserve"> в отчете </w:t>
      </w:r>
      <w:r w:rsidR="0012390F">
        <w:t>администрации района «О</w:t>
      </w:r>
      <w:r w:rsidR="00093ED7">
        <w:t xml:space="preserve"> реализации плана мероприятий комплексной программы социально-экономического развития Нижнеилимского муниципального района за 2011 год» не устранена некорректность статистической отчетности </w:t>
      </w:r>
      <w:r w:rsidR="0012390F">
        <w:t xml:space="preserve">по исполнению бюджета по муниципальным долгосрочным целевым программам. Числовые значения количества МЦП на цифре 15 так и остались задвоенными, что исказило отчетность Программы. </w:t>
      </w:r>
    </w:p>
    <w:p w:rsidR="00510F07" w:rsidRDefault="0012390F" w:rsidP="0016194E">
      <w:pPr>
        <w:pStyle w:val="ac"/>
        <w:tabs>
          <w:tab w:val="left" w:pos="900"/>
        </w:tabs>
        <w:ind w:left="0"/>
        <w:jc w:val="both"/>
      </w:pPr>
      <w:r>
        <w:tab/>
      </w:r>
      <w:r w:rsidR="00ED25BA">
        <w:t>В ходе внешней проверки</w:t>
      </w:r>
      <w:r w:rsidR="0016194E">
        <w:t xml:space="preserve"> проекта решения</w:t>
      </w:r>
      <w:r w:rsidR="00093ED7">
        <w:t xml:space="preserve"> Думы</w:t>
      </w:r>
      <w:r w:rsidR="0016194E">
        <w:t xml:space="preserve"> «Об утверждении отчета об исполнении бюджета муниципального образования «Нижнеилимский район» за 2011 год» установлено:</w:t>
      </w:r>
    </w:p>
    <w:p w:rsidR="001C478E" w:rsidRDefault="0016194E" w:rsidP="001C478E">
      <w:pPr>
        <w:pStyle w:val="ac"/>
        <w:numPr>
          <w:ilvl w:val="0"/>
          <w:numId w:val="10"/>
        </w:numPr>
        <w:ind w:left="0" w:firstLine="360"/>
        <w:jc w:val="both"/>
      </w:pPr>
      <w:r>
        <w:t>Числовые значения показателей проекта решения «Об утверждении отчета об исполнении бюджета муниципального образования «Нижнеилимский район» за 2011 год»</w:t>
      </w:r>
      <w:r w:rsidR="00851F19">
        <w:t xml:space="preserve"> представленного для внешней проверки Контрольно-счетной палате Нижнеилимского муниципального района, соответствуют данным отчета об исполнении  бюджета по форме ф. 0503317, со</w:t>
      </w:r>
      <w:r w:rsidR="00093ED7">
        <w:t>ставленного Финансовым управлением</w:t>
      </w:r>
      <w:r w:rsidR="00851F19">
        <w:t xml:space="preserve"> исполнение бюд</w:t>
      </w:r>
      <w:r w:rsidR="001C478E">
        <w:t>жета в соответствии с</w:t>
      </w:r>
      <w:r w:rsidR="00473671"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28.12.2010г. № 191н дейст</w:t>
      </w:r>
      <w:r w:rsidR="001C478E">
        <w:t>вующей в отчетном 2011 году.</w:t>
      </w:r>
    </w:p>
    <w:p w:rsidR="001C478E" w:rsidRDefault="001C478E" w:rsidP="001C478E">
      <w:pPr>
        <w:pStyle w:val="ac"/>
        <w:ind w:left="0"/>
        <w:jc w:val="both"/>
      </w:pPr>
      <w:r>
        <w:tab/>
        <w:t xml:space="preserve">В свою очередь достоверность годового отчета об исполнении бюджета МО «Нижнеилимский район» подтверждается отсутствием отклонений показателей отчета с показателями отчетов о кассовом поступлении и выбытии средств УФК по Иркутской области. </w:t>
      </w:r>
    </w:p>
    <w:p w:rsidR="001C478E" w:rsidRDefault="007264F7" w:rsidP="007264F7">
      <w:pPr>
        <w:pStyle w:val="ac"/>
        <w:numPr>
          <w:ilvl w:val="0"/>
          <w:numId w:val="10"/>
        </w:numPr>
        <w:ind w:left="0" w:firstLine="360"/>
        <w:jc w:val="both"/>
      </w:pPr>
      <w:r>
        <w:t>В целом при исполнении районного бюджета удалось сохранить приоритеты, расставленные на этапе формирования бюджета МО «Нижнеилимский район» на 2011г. Как и в предыдущие годы исполнение носит социальную направленность.</w:t>
      </w:r>
    </w:p>
    <w:p w:rsidR="00762FA9" w:rsidRDefault="007264F7" w:rsidP="007264F7">
      <w:pPr>
        <w:pStyle w:val="ac"/>
        <w:numPr>
          <w:ilvl w:val="0"/>
          <w:numId w:val="10"/>
        </w:numPr>
        <w:ind w:left="0" w:firstLine="360"/>
        <w:jc w:val="both"/>
      </w:pPr>
      <w:r>
        <w:t>В расходах бюджета района в 2011 году доля средств, направленных на муниципальный заказ</w:t>
      </w:r>
      <w:r w:rsidR="00762FA9">
        <w:t>, составила более 42% или 535 100 тыс.</w:t>
      </w:r>
      <w:r w:rsidR="00ED25BA">
        <w:t xml:space="preserve"> </w:t>
      </w:r>
      <w:r w:rsidR="00762FA9">
        <w:t>руб.</w:t>
      </w:r>
      <w:r w:rsidR="000D7B53">
        <w:t xml:space="preserve"> Экономия бюджетных средств при размещении муниципального заказа является существенной частью эффективного расходования бюджетных средств</w:t>
      </w:r>
      <w:r w:rsidR="00762FA9">
        <w:t xml:space="preserve">. За 2011 год при размещении муниципального заказа условная экономия средств, выделенных для удовлетворения муниципальных нужд   </w:t>
      </w:r>
      <w:r w:rsidR="000D7B53">
        <w:t xml:space="preserve"> составила 15 962,6 тыс. р</w:t>
      </w:r>
      <w:r w:rsidR="00762FA9">
        <w:t>ублей или 2,9%.</w:t>
      </w:r>
    </w:p>
    <w:p w:rsidR="00615940" w:rsidRDefault="004409A2" w:rsidP="00615940">
      <w:pPr>
        <w:pStyle w:val="ac"/>
        <w:numPr>
          <w:ilvl w:val="0"/>
          <w:numId w:val="10"/>
        </w:numPr>
        <w:ind w:left="0" w:firstLine="360"/>
        <w:jc w:val="both"/>
      </w:pPr>
      <w:r>
        <w:t>На основании представленного отчета исполнения бюджета,</w:t>
      </w:r>
      <w:r w:rsidR="000D7B53">
        <w:t xml:space="preserve"> </w:t>
      </w:r>
      <w:r>
        <w:t xml:space="preserve">доходы бюджета района исполнены в сумме 1 228 878 тыс. руб. в том числе налоговые и неналоговые в сумме 320 979 тыс. руб. В пояснительной записке к проекту решения Думы Нижнеилимского муниципального района «Об утверждении отчета об исполнении </w:t>
      </w:r>
      <w:r>
        <w:lastRenderedPageBreak/>
        <w:t xml:space="preserve">бюджета МО «Нижнеилимский </w:t>
      </w:r>
      <w:r w:rsidR="00FE5F9F">
        <w:t xml:space="preserve">район» за 2011 год» имеется </w:t>
      </w:r>
      <w:r>
        <w:t xml:space="preserve"> информация </w:t>
      </w:r>
      <w:r w:rsidR="00DA1622">
        <w:t xml:space="preserve"> исполнения  доходов по НДФЛ, на основании данных МИ ФНС России №11. По информации КСП  МИ ФНС №11 в ноябре </w:t>
      </w:r>
      <w:r w:rsidR="00FE5F9F">
        <w:t xml:space="preserve">2011г. </w:t>
      </w:r>
      <w:r w:rsidR="00DA1622">
        <w:t>преобразована в Межрайонную ИФНС №15</w:t>
      </w:r>
      <w:r w:rsidR="00FE5F9F">
        <w:t xml:space="preserve"> по Иркутской области,  вызывает также сом</w:t>
      </w:r>
      <w:r w:rsidR="00615940">
        <w:t xml:space="preserve">нение </w:t>
      </w:r>
      <w:r w:rsidR="00FE5F9F">
        <w:t xml:space="preserve">о </w:t>
      </w:r>
      <w:r w:rsidR="00615940">
        <w:t xml:space="preserve">качестве </w:t>
      </w:r>
      <w:r w:rsidR="00FE5F9F">
        <w:t xml:space="preserve">представленной информации от МИ ФНС №11 о количестве плательщиков </w:t>
      </w:r>
      <w:r w:rsidR="00615940">
        <w:t xml:space="preserve">НДФЛ </w:t>
      </w:r>
      <w:r w:rsidR="00FE5F9F">
        <w:t>в декабре 919 человек, в ноябре 772 человека</w:t>
      </w:r>
      <w:r w:rsidR="00093ED7">
        <w:t>.</w:t>
      </w:r>
    </w:p>
    <w:p w:rsidR="007264F7" w:rsidRDefault="00615940" w:rsidP="00615940">
      <w:pPr>
        <w:pStyle w:val="ac"/>
        <w:numPr>
          <w:ilvl w:val="0"/>
          <w:numId w:val="10"/>
        </w:numPr>
        <w:ind w:left="0" w:firstLine="360"/>
        <w:jc w:val="both"/>
      </w:pPr>
      <w:r>
        <w:t xml:space="preserve">В ходе внешней проверки годового отчета </w:t>
      </w:r>
      <w:r w:rsidR="00C438C4">
        <w:t xml:space="preserve">об </w:t>
      </w:r>
      <w:r>
        <w:t xml:space="preserve">исполнении районного бюджета в разделе </w:t>
      </w:r>
      <w:r w:rsidR="00C438C4">
        <w:t>«С</w:t>
      </w:r>
      <w:r>
        <w:t>оциальная политика</w:t>
      </w:r>
      <w:r w:rsidR="00C438C4">
        <w:t>»</w:t>
      </w:r>
      <w:r>
        <w:t xml:space="preserve"> не представлены расходы по пенсионному</w:t>
      </w:r>
      <w:r w:rsidR="00C438C4">
        <w:t xml:space="preserve"> обеспечению, которые учтены</w:t>
      </w:r>
      <w:r>
        <w:t xml:space="preserve"> </w:t>
      </w:r>
      <w:r w:rsidR="00C438C4">
        <w:t>в разделе «Общегосударственные вопросы»  сумме 2 548 520,48 рублей. В материалах Закона Иркутской области от 09.12.2011 №128-оз «Об областном бюджете на 2011год» данный вид расходов классифицируется</w:t>
      </w:r>
      <w:r>
        <w:t xml:space="preserve"> </w:t>
      </w:r>
      <w:r w:rsidR="00C438C4">
        <w:t>в подразделе 1001</w:t>
      </w:r>
      <w:r w:rsidR="004409A2">
        <w:t xml:space="preserve"> </w:t>
      </w:r>
      <w:r w:rsidR="002B4EFF">
        <w:t>«Пенсионное обеспечение».</w:t>
      </w:r>
    </w:p>
    <w:p w:rsidR="00093ED7" w:rsidRDefault="00D5571F" w:rsidP="00615940">
      <w:pPr>
        <w:pStyle w:val="ac"/>
        <w:numPr>
          <w:ilvl w:val="0"/>
          <w:numId w:val="10"/>
        </w:numPr>
        <w:ind w:left="0" w:firstLine="360"/>
        <w:jc w:val="both"/>
      </w:pPr>
      <w:r>
        <w:t>Состояние недоимки</w:t>
      </w:r>
      <w:r w:rsidR="003E0C12">
        <w:t xml:space="preserve"> в бюджет муниципального района</w:t>
      </w:r>
      <w:r>
        <w:t xml:space="preserve"> на 01.01.2012 года в сравнении с 01.01.2011 годом</w:t>
      </w:r>
      <w:r w:rsidR="00375EFA">
        <w:t xml:space="preserve"> свидетельствует о снижении задолженности</w:t>
      </w:r>
      <w:r w:rsidR="003E0C12">
        <w:t xml:space="preserve"> на 1 106 тыс. рублей, за счет  единого налога</w:t>
      </w:r>
      <w:r w:rsidR="00375EFA">
        <w:t xml:space="preserve"> на вмененный доход, вместе с тем</w:t>
      </w:r>
      <w:r w:rsidR="003E0C12">
        <w:t xml:space="preserve"> </w:t>
      </w:r>
      <w:r w:rsidR="00375EFA">
        <w:t xml:space="preserve">за 2011 год незначительно выросла недоимка по НДФЛ. Положительная динамика по снижению задолженности </w:t>
      </w:r>
      <w:r w:rsidR="00CA22F2">
        <w:t>по налогам характеризует совместную работу межрайонной ИФНС №11 по Иркутской области и администрации района по повышению доходного потенциала бюджета МО «Нижнеилимский район».</w:t>
      </w:r>
    </w:p>
    <w:p w:rsidR="00CA22F2" w:rsidRDefault="00CA22F2" w:rsidP="00615940">
      <w:pPr>
        <w:pStyle w:val="ac"/>
        <w:numPr>
          <w:ilvl w:val="0"/>
          <w:numId w:val="10"/>
        </w:numPr>
        <w:ind w:left="0" w:firstLine="360"/>
        <w:jc w:val="both"/>
      </w:pPr>
      <w:r>
        <w:t xml:space="preserve">Контрольно-счетная палата отмечает снижение кредиторской задолженности учреждений муниципального образования  «Нижнеилимский район» </w:t>
      </w:r>
      <w:r w:rsidR="00F0103B">
        <w:t xml:space="preserve">по итогам 2011г. </w:t>
      </w:r>
      <w:r>
        <w:t>на 10,7%</w:t>
      </w:r>
      <w:r w:rsidR="00F0103B">
        <w:t xml:space="preserve">. По состоянию </w:t>
      </w:r>
      <w:r w:rsidR="008F6392">
        <w:t xml:space="preserve">на 01.01.2012г. ее объем остается значительным </w:t>
      </w:r>
      <w:r w:rsidR="00ED25BA">
        <w:t>–</w:t>
      </w:r>
      <w:r w:rsidR="008F6392">
        <w:t xml:space="preserve"> </w:t>
      </w:r>
      <w:r w:rsidR="00ED25BA">
        <w:t>688 503 тыс.</w:t>
      </w:r>
      <w:r w:rsidR="00024098">
        <w:t xml:space="preserve"> </w:t>
      </w:r>
      <w:r w:rsidR="00ED25BA">
        <w:t>рублей</w:t>
      </w:r>
      <w:r w:rsidR="008F6392">
        <w:t>, что может негативно сказаться</w:t>
      </w:r>
      <w:r w:rsidR="009E43C8">
        <w:t xml:space="preserve"> на исполнении бюджета Нижнеилимского района в 2012 году.</w:t>
      </w:r>
    </w:p>
    <w:p w:rsidR="001E76DC" w:rsidRDefault="00D84622" w:rsidP="00D84622">
      <w:pPr>
        <w:pStyle w:val="ac"/>
        <w:ind w:left="0"/>
        <w:jc w:val="both"/>
      </w:pPr>
      <w:r>
        <w:tab/>
      </w:r>
      <w:r w:rsidR="005E42E0">
        <w:t xml:space="preserve">В ходе проведения внешней проверки Отчета об исполнении бюджета МО «Нижнеилимский район» </w:t>
      </w:r>
      <w:r>
        <w:t xml:space="preserve">Контрольно-счетной палатой Нижнеилимского муниципального района </w:t>
      </w:r>
      <w:r w:rsidR="005E42E0">
        <w:t>не выявлено нарушений бюджетного законодательства и муниципальных правовых актов, препятствующих утверждению проекта решения</w:t>
      </w:r>
      <w:r>
        <w:t xml:space="preserve"> Думы, данный проект решения рекомендует</w:t>
      </w:r>
      <w:r w:rsidR="00BC74D3">
        <w:t>ся</w:t>
      </w:r>
      <w:r>
        <w:t xml:space="preserve"> к принятию Думой Нижнеилимского муниципального района. </w:t>
      </w:r>
    </w:p>
    <w:p w:rsidR="001E76DC" w:rsidRPr="001E76DC" w:rsidRDefault="001E76DC" w:rsidP="001E76DC"/>
    <w:p w:rsidR="001E76DC" w:rsidRPr="001E76DC" w:rsidRDefault="001E76DC" w:rsidP="001E76DC"/>
    <w:p w:rsidR="001E76DC" w:rsidRPr="001E76DC" w:rsidRDefault="001E76DC" w:rsidP="001E76DC"/>
    <w:p w:rsidR="001E76DC" w:rsidRDefault="001E76DC" w:rsidP="001E76DC"/>
    <w:p w:rsidR="005E42E0" w:rsidRDefault="001E76DC" w:rsidP="001E76DC">
      <w:r>
        <w:t>Председатель Контрольно-счетной палаты</w:t>
      </w:r>
    </w:p>
    <w:p w:rsidR="001E76DC" w:rsidRPr="001E76DC" w:rsidRDefault="001E76DC" w:rsidP="001E76DC">
      <w:r>
        <w:t>Нижнеилимского муниципального района                                         О.Л.Каверзин</w:t>
      </w:r>
    </w:p>
    <w:sectPr w:rsidR="001E76DC" w:rsidRPr="001E76DC" w:rsidSect="005A6841">
      <w:headerReference w:type="default" r:id="rId10"/>
      <w:footerReference w:type="default" r:id="rId11"/>
      <w:pgSz w:w="11906" w:h="16838"/>
      <w:pgMar w:top="1134" w:right="850" w:bottom="1134" w:left="1701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3F0" w:rsidRDefault="00D103F0" w:rsidP="002428EC">
      <w:r>
        <w:separator/>
      </w:r>
    </w:p>
  </w:endnote>
  <w:endnote w:type="continuationSeparator" w:id="1">
    <w:p w:rsidR="00D103F0" w:rsidRDefault="00D103F0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A" w:rsidRDefault="00A82E46">
    <w:pPr>
      <w:pStyle w:val="a6"/>
      <w:jc w:val="center"/>
    </w:pPr>
    <w:fldSimple w:instr=" PAGE   \* MERGEFORMAT ">
      <w:r w:rsidR="000835F4">
        <w:rPr>
          <w:noProof/>
        </w:rPr>
        <w:t>6</w:t>
      </w:r>
    </w:fldSimple>
  </w:p>
  <w:p w:rsidR="00173BEA" w:rsidRDefault="00173B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3F0" w:rsidRDefault="00D103F0" w:rsidP="002428EC">
      <w:r>
        <w:separator/>
      </w:r>
    </w:p>
  </w:footnote>
  <w:footnote w:type="continuationSeparator" w:id="1">
    <w:p w:rsidR="00D103F0" w:rsidRDefault="00D103F0" w:rsidP="00242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A" w:rsidRDefault="00173BEA">
    <w:pPr>
      <w:pStyle w:val="a4"/>
    </w:pPr>
  </w:p>
  <w:p w:rsidR="00173BEA" w:rsidRDefault="00173B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4334"/>
    <w:multiLevelType w:val="multilevel"/>
    <w:tmpl w:val="9814D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1DE1"/>
    <w:multiLevelType w:val="hybridMultilevel"/>
    <w:tmpl w:val="6E22AE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07FC4"/>
    <w:multiLevelType w:val="hybridMultilevel"/>
    <w:tmpl w:val="3C22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D391C"/>
    <w:multiLevelType w:val="hybridMultilevel"/>
    <w:tmpl w:val="2AB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296C"/>
    <w:multiLevelType w:val="hybridMultilevel"/>
    <w:tmpl w:val="9534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7394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13AF"/>
    <w:rsid w:val="00002582"/>
    <w:rsid w:val="00002CB5"/>
    <w:rsid w:val="00003CB2"/>
    <w:rsid w:val="00004AA6"/>
    <w:rsid w:val="00006DB0"/>
    <w:rsid w:val="00007568"/>
    <w:rsid w:val="00007CB5"/>
    <w:rsid w:val="000107A0"/>
    <w:rsid w:val="0001118E"/>
    <w:rsid w:val="00012C28"/>
    <w:rsid w:val="000130C0"/>
    <w:rsid w:val="000130DD"/>
    <w:rsid w:val="00013160"/>
    <w:rsid w:val="00013516"/>
    <w:rsid w:val="00016802"/>
    <w:rsid w:val="0001784C"/>
    <w:rsid w:val="00017F29"/>
    <w:rsid w:val="0002052F"/>
    <w:rsid w:val="00020B7F"/>
    <w:rsid w:val="00023574"/>
    <w:rsid w:val="00024098"/>
    <w:rsid w:val="00025B73"/>
    <w:rsid w:val="00025ED3"/>
    <w:rsid w:val="00027B68"/>
    <w:rsid w:val="00035484"/>
    <w:rsid w:val="000368B5"/>
    <w:rsid w:val="00040273"/>
    <w:rsid w:val="0004052D"/>
    <w:rsid w:val="000411A4"/>
    <w:rsid w:val="0004126B"/>
    <w:rsid w:val="0004187C"/>
    <w:rsid w:val="000434E9"/>
    <w:rsid w:val="000464BC"/>
    <w:rsid w:val="00046FBA"/>
    <w:rsid w:val="00047780"/>
    <w:rsid w:val="00053756"/>
    <w:rsid w:val="00054963"/>
    <w:rsid w:val="00054D36"/>
    <w:rsid w:val="00055012"/>
    <w:rsid w:val="0005577F"/>
    <w:rsid w:val="00057994"/>
    <w:rsid w:val="0006072D"/>
    <w:rsid w:val="00061EC5"/>
    <w:rsid w:val="00062567"/>
    <w:rsid w:val="00062BD5"/>
    <w:rsid w:val="00063414"/>
    <w:rsid w:val="00064B8F"/>
    <w:rsid w:val="00064E97"/>
    <w:rsid w:val="00072C64"/>
    <w:rsid w:val="00075F4B"/>
    <w:rsid w:val="00081510"/>
    <w:rsid w:val="0008184F"/>
    <w:rsid w:val="000835F4"/>
    <w:rsid w:val="00083D11"/>
    <w:rsid w:val="00085AEB"/>
    <w:rsid w:val="000860D4"/>
    <w:rsid w:val="00086154"/>
    <w:rsid w:val="000862AE"/>
    <w:rsid w:val="0009207E"/>
    <w:rsid w:val="00093CB1"/>
    <w:rsid w:val="00093ED7"/>
    <w:rsid w:val="000964E3"/>
    <w:rsid w:val="00096F86"/>
    <w:rsid w:val="00097394"/>
    <w:rsid w:val="0009781C"/>
    <w:rsid w:val="000A1360"/>
    <w:rsid w:val="000A5762"/>
    <w:rsid w:val="000A68F1"/>
    <w:rsid w:val="000B10DB"/>
    <w:rsid w:val="000B17C3"/>
    <w:rsid w:val="000B2CD8"/>
    <w:rsid w:val="000B443E"/>
    <w:rsid w:val="000B7808"/>
    <w:rsid w:val="000C1988"/>
    <w:rsid w:val="000C3420"/>
    <w:rsid w:val="000C42ED"/>
    <w:rsid w:val="000C48FC"/>
    <w:rsid w:val="000D4AF7"/>
    <w:rsid w:val="000D6B96"/>
    <w:rsid w:val="000D6DCE"/>
    <w:rsid w:val="000D7B53"/>
    <w:rsid w:val="000E008C"/>
    <w:rsid w:val="000E2939"/>
    <w:rsid w:val="000E6ECE"/>
    <w:rsid w:val="000E7C38"/>
    <w:rsid w:val="000E7DD5"/>
    <w:rsid w:val="000F45D7"/>
    <w:rsid w:val="000F676D"/>
    <w:rsid w:val="00100107"/>
    <w:rsid w:val="00100224"/>
    <w:rsid w:val="001004CD"/>
    <w:rsid w:val="00101853"/>
    <w:rsid w:val="00101EDD"/>
    <w:rsid w:val="00102CDF"/>
    <w:rsid w:val="00104253"/>
    <w:rsid w:val="00110E21"/>
    <w:rsid w:val="00111B6C"/>
    <w:rsid w:val="001132E4"/>
    <w:rsid w:val="00115913"/>
    <w:rsid w:val="00115F20"/>
    <w:rsid w:val="001178E1"/>
    <w:rsid w:val="00117F1C"/>
    <w:rsid w:val="0012017D"/>
    <w:rsid w:val="0012390F"/>
    <w:rsid w:val="001250A9"/>
    <w:rsid w:val="00125111"/>
    <w:rsid w:val="00126950"/>
    <w:rsid w:val="00127C83"/>
    <w:rsid w:val="00127D95"/>
    <w:rsid w:val="0013133B"/>
    <w:rsid w:val="00131F7B"/>
    <w:rsid w:val="00137069"/>
    <w:rsid w:val="00145558"/>
    <w:rsid w:val="001460E3"/>
    <w:rsid w:val="00146E1C"/>
    <w:rsid w:val="00146FB9"/>
    <w:rsid w:val="00151F4A"/>
    <w:rsid w:val="00155C95"/>
    <w:rsid w:val="001563D0"/>
    <w:rsid w:val="00156AE8"/>
    <w:rsid w:val="00157E92"/>
    <w:rsid w:val="001601A8"/>
    <w:rsid w:val="0016194E"/>
    <w:rsid w:val="0016203D"/>
    <w:rsid w:val="0016282A"/>
    <w:rsid w:val="001628E7"/>
    <w:rsid w:val="00162A6D"/>
    <w:rsid w:val="00162E47"/>
    <w:rsid w:val="001634A5"/>
    <w:rsid w:val="00166823"/>
    <w:rsid w:val="0017075B"/>
    <w:rsid w:val="00171A7E"/>
    <w:rsid w:val="0017246A"/>
    <w:rsid w:val="00172565"/>
    <w:rsid w:val="00172C67"/>
    <w:rsid w:val="00173BEA"/>
    <w:rsid w:val="00175AC6"/>
    <w:rsid w:val="0017790F"/>
    <w:rsid w:val="00177AAB"/>
    <w:rsid w:val="00182C5D"/>
    <w:rsid w:val="00183728"/>
    <w:rsid w:val="00187ECB"/>
    <w:rsid w:val="0019112A"/>
    <w:rsid w:val="00192A7D"/>
    <w:rsid w:val="00194665"/>
    <w:rsid w:val="00195F9A"/>
    <w:rsid w:val="00196E68"/>
    <w:rsid w:val="00197087"/>
    <w:rsid w:val="001A12F6"/>
    <w:rsid w:val="001A22E4"/>
    <w:rsid w:val="001A4222"/>
    <w:rsid w:val="001A6917"/>
    <w:rsid w:val="001A76C3"/>
    <w:rsid w:val="001B26C8"/>
    <w:rsid w:val="001B2A3D"/>
    <w:rsid w:val="001B3ED7"/>
    <w:rsid w:val="001B69E5"/>
    <w:rsid w:val="001C0C3A"/>
    <w:rsid w:val="001C478E"/>
    <w:rsid w:val="001C4B13"/>
    <w:rsid w:val="001C53FB"/>
    <w:rsid w:val="001C71EA"/>
    <w:rsid w:val="001D149B"/>
    <w:rsid w:val="001D1601"/>
    <w:rsid w:val="001D18E6"/>
    <w:rsid w:val="001D2335"/>
    <w:rsid w:val="001D25C5"/>
    <w:rsid w:val="001D3461"/>
    <w:rsid w:val="001D3860"/>
    <w:rsid w:val="001D479B"/>
    <w:rsid w:val="001D585E"/>
    <w:rsid w:val="001E015E"/>
    <w:rsid w:val="001E24F4"/>
    <w:rsid w:val="001E2AEB"/>
    <w:rsid w:val="001E3896"/>
    <w:rsid w:val="001E3E39"/>
    <w:rsid w:val="001E4690"/>
    <w:rsid w:val="001E609E"/>
    <w:rsid w:val="001E6D68"/>
    <w:rsid w:val="001E76DC"/>
    <w:rsid w:val="001E778B"/>
    <w:rsid w:val="001F055A"/>
    <w:rsid w:val="001F1025"/>
    <w:rsid w:val="001F2D21"/>
    <w:rsid w:val="001F3B3C"/>
    <w:rsid w:val="001F63F9"/>
    <w:rsid w:val="0020014A"/>
    <w:rsid w:val="002023D5"/>
    <w:rsid w:val="00203135"/>
    <w:rsid w:val="00205205"/>
    <w:rsid w:val="00205AAD"/>
    <w:rsid w:val="00206D9C"/>
    <w:rsid w:val="00210249"/>
    <w:rsid w:val="0021027D"/>
    <w:rsid w:val="002151BC"/>
    <w:rsid w:val="002178A2"/>
    <w:rsid w:val="00217FF5"/>
    <w:rsid w:val="00224234"/>
    <w:rsid w:val="0022503F"/>
    <w:rsid w:val="0023002C"/>
    <w:rsid w:val="002316F3"/>
    <w:rsid w:val="00232DAF"/>
    <w:rsid w:val="00233FA7"/>
    <w:rsid w:val="00234FF8"/>
    <w:rsid w:val="00236169"/>
    <w:rsid w:val="0023690B"/>
    <w:rsid w:val="00237F5D"/>
    <w:rsid w:val="00241397"/>
    <w:rsid w:val="00241536"/>
    <w:rsid w:val="002428EC"/>
    <w:rsid w:val="00242CC6"/>
    <w:rsid w:val="0024393B"/>
    <w:rsid w:val="00244ABB"/>
    <w:rsid w:val="00250876"/>
    <w:rsid w:val="00251245"/>
    <w:rsid w:val="00251511"/>
    <w:rsid w:val="00252567"/>
    <w:rsid w:val="00254692"/>
    <w:rsid w:val="0025522A"/>
    <w:rsid w:val="0025597A"/>
    <w:rsid w:val="002568D0"/>
    <w:rsid w:val="00262475"/>
    <w:rsid w:val="00262F4D"/>
    <w:rsid w:val="00264299"/>
    <w:rsid w:val="00265363"/>
    <w:rsid w:val="002664A5"/>
    <w:rsid w:val="00267093"/>
    <w:rsid w:val="00270569"/>
    <w:rsid w:val="0027094D"/>
    <w:rsid w:val="00273307"/>
    <w:rsid w:val="00274D13"/>
    <w:rsid w:val="00275662"/>
    <w:rsid w:val="00280A8A"/>
    <w:rsid w:val="00281A2A"/>
    <w:rsid w:val="00284DEB"/>
    <w:rsid w:val="00285880"/>
    <w:rsid w:val="00286048"/>
    <w:rsid w:val="00286059"/>
    <w:rsid w:val="00293961"/>
    <w:rsid w:val="00294253"/>
    <w:rsid w:val="002944DA"/>
    <w:rsid w:val="00295E97"/>
    <w:rsid w:val="002972F3"/>
    <w:rsid w:val="002A4551"/>
    <w:rsid w:val="002A4A13"/>
    <w:rsid w:val="002A6510"/>
    <w:rsid w:val="002B054B"/>
    <w:rsid w:val="002B3ACF"/>
    <w:rsid w:val="002B4649"/>
    <w:rsid w:val="002B466F"/>
    <w:rsid w:val="002B4EFF"/>
    <w:rsid w:val="002B614F"/>
    <w:rsid w:val="002B7129"/>
    <w:rsid w:val="002C0A1C"/>
    <w:rsid w:val="002C2916"/>
    <w:rsid w:val="002C5B2B"/>
    <w:rsid w:val="002C6ADA"/>
    <w:rsid w:val="002C7F22"/>
    <w:rsid w:val="002D3B6E"/>
    <w:rsid w:val="002E3122"/>
    <w:rsid w:val="002E6D1F"/>
    <w:rsid w:val="002E7516"/>
    <w:rsid w:val="002F05B5"/>
    <w:rsid w:val="002F67C4"/>
    <w:rsid w:val="002F7C1D"/>
    <w:rsid w:val="003001E4"/>
    <w:rsid w:val="0030024A"/>
    <w:rsid w:val="00301AFF"/>
    <w:rsid w:val="00301F81"/>
    <w:rsid w:val="003020DD"/>
    <w:rsid w:val="00304619"/>
    <w:rsid w:val="0030677E"/>
    <w:rsid w:val="00307297"/>
    <w:rsid w:val="00311C74"/>
    <w:rsid w:val="003133A4"/>
    <w:rsid w:val="00315989"/>
    <w:rsid w:val="00315BB8"/>
    <w:rsid w:val="00315EAC"/>
    <w:rsid w:val="00316DD8"/>
    <w:rsid w:val="00322A1E"/>
    <w:rsid w:val="0032450B"/>
    <w:rsid w:val="00330382"/>
    <w:rsid w:val="00331E53"/>
    <w:rsid w:val="0033304A"/>
    <w:rsid w:val="00336490"/>
    <w:rsid w:val="003364B2"/>
    <w:rsid w:val="003504F3"/>
    <w:rsid w:val="00355870"/>
    <w:rsid w:val="00357A03"/>
    <w:rsid w:val="00357A78"/>
    <w:rsid w:val="00360D36"/>
    <w:rsid w:val="00361084"/>
    <w:rsid w:val="00361733"/>
    <w:rsid w:val="00362E7E"/>
    <w:rsid w:val="00363002"/>
    <w:rsid w:val="003640FA"/>
    <w:rsid w:val="003643A4"/>
    <w:rsid w:val="00365527"/>
    <w:rsid w:val="0036584C"/>
    <w:rsid w:val="0037181E"/>
    <w:rsid w:val="00375081"/>
    <w:rsid w:val="00375EFA"/>
    <w:rsid w:val="00376558"/>
    <w:rsid w:val="00377599"/>
    <w:rsid w:val="00381475"/>
    <w:rsid w:val="00381915"/>
    <w:rsid w:val="00382F31"/>
    <w:rsid w:val="00384001"/>
    <w:rsid w:val="00385FD7"/>
    <w:rsid w:val="003867A6"/>
    <w:rsid w:val="00387CBF"/>
    <w:rsid w:val="0039191D"/>
    <w:rsid w:val="0039248C"/>
    <w:rsid w:val="00395634"/>
    <w:rsid w:val="003A1430"/>
    <w:rsid w:val="003A56B4"/>
    <w:rsid w:val="003A5E0A"/>
    <w:rsid w:val="003A6F9E"/>
    <w:rsid w:val="003A7C32"/>
    <w:rsid w:val="003B080E"/>
    <w:rsid w:val="003B145E"/>
    <w:rsid w:val="003B272B"/>
    <w:rsid w:val="003B2F34"/>
    <w:rsid w:val="003B4E39"/>
    <w:rsid w:val="003B4FA1"/>
    <w:rsid w:val="003B6182"/>
    <w:rsid w:val="003C094E"/>
    <w:rsid w:val="003C18E5"/>
    <w:rsid w:val="003C5550"/>
    <w:rsid w:val="003D11A4"/>
    <w:rsid w:val="003D4BA4"/>
    <w:rsid w:val="003D644E"/>
    <w:rsid w:val="003D7C69"/>
    <w:rsid w:val="003E0BE0"/>
    <w:rsid w:val="003E0C12"/>
    <w:rsid w:val="003E0C48"/>
    <w:rsid w:val="003E0FF3"/>
    <w:rsid w:val="003E1E78"/>
    <w:rsid w:val="003E35D7"/>
    <w:rsid w:val="003E5027"/>
    <w:rsid w:val="003E611F"/>
    <w:rsid w:val="003E6508"/>
    <w:rsid w:val="003E777A"/>
    <w:rsid w:val="003E7A62"/>
    <w:rsid w:val="003E7C6B"/>
    <w:rsid w:val="003F248A"/>
    <w:rsid w:val="003F2CF9"/>
    <w:rsid w:val="003F31FE"/>
    <w:rsid w:val="003F77F7"/>
    <w:rsid w:val="004012B2"/>
    <w:rsid w:val="00403AE2"/>
    <w:rsid w:val="004072DF"/>
    <w:rsid w:val="00412FB5"/>
    <w:rsid w:val="00413D4F"/>
    <w:rsid w:val="00416563"/>
    <w:rsid w:val="004167B9"/>
    <w:rsid w:val="004211FE"/>
    <w:rsid w:val="00422326"/>
    <w:rsid w:val="00425865"/>
    <w:rsid w:val="0042762B"/>
    <w:rsid w:val="00427A71"/>
    <w:rsid w:val="004303D1"/>
    <w:rsid w:val="004314A0"/>
    <w:rsid w:val="00434D5E"/>
    <w:rsid w:val="00436667"/>
    <w:rsid w:val="004373D3"/>
    <w:rsid w:val="004374F5"/>
    <w:rsid w:val="004407AD"/>
    <w:rsid w:val="0044082B"/>
    <w:rsid w:val="004409A2"/>
    <w:rsid w:val="00441DE1"/>
    <w:rsid w:val="004426F0"/>
    <w:rsid w:val="004429F9"/>
    <w:rsid w:val="00444CA4"/>
    <w:rsid w:val="0044502D"/>
    <w:rsid w:val="0045037E"/>
    <w:rsid w:val="00452B34"/>
    <w:rsid w:val="004575FA"/>
    <w:rsid w:val="00461691"/>
    <w:rsid w:val="004626D0"/>
    <w:rsid w:val="004640B0"/>
    <w:rsid w:val="00464DC4"/>
    <w:rsid w:val="004662A9"/>
    <w:rsid w:val="00470818"/>
    <w:rsid w:val="00472DE1"/>
    <w:rsid w:val="00473671"/>
    <w:rsid w:val="00473B58"/>
    <w:rsid w:val="0047515B"/>
    <w:rsid w:val="00475791"/>
    <w:rsid w:val="00475859"/>
    <w:rsid w:val="00475FAA"/>
    <w:rsid w:val="004772BF"/>
    <w:rsid w:val="004851C9"/>
    <w:rsid w:val="004940E6"/>
    <w:rsid w:val="00494F82"/>
    <w:rsid w:val="0049632D"/>
    <w:rsid w:val="0049755F"/>
    <w:rsid w:val="004A085D"/>
    <w:rsid w:val="004A18BB"/>
    <w:rsid w:val="004A1F35"/>
    <w:rsid w:val="004A251C"/>
    <w:rsid w:val="004A3A32"/>
    <w:rsid w:val="004A4B5A"/>
    <w:rsid w:val="004A5F1C"/>
    <w:rsid w:val="004A73FF"/>
    <w:rsid w:val="004A75BB"/>
    <w:rsid w:val="004B449C"/>
    <w:rsid w:val="004B78C3"/>
    <w:rsid w:val="004C02FC"/>
    <w:rsid w:val="004C0691"/>
    <w:rsid w:val="004C0F48"/>
    <w:rsid w:val="004C108D"/>
    <w:rsid w:val="004C1C58"/>
    <w:rsid w:val="004C294E"/>
    <w:rsid w:val="004C31BA"/>
    <w:rsid w:val="004C3B5E"/>
    <w:rsid w:val="004C5548"/>
    <w:rsid w:val="004C7352"/>
    <w:rsid w:val="004C75CB"/>
    <w:rsid w:val="004D0C78"/>
    <w:rsid w:val="004D202B"/>
    <w:rsid w:val="004D33DA"/>
    <w:rsid w:val="004D39E8"/>
    <w:rsid w:val="004D43A4"/>
    <w:rsid w:val="004D52A7"/>
    <w:rsid w:val="004D6E8F"/>
    <w:rsid w:val="004D77CB"/>
    <w:rsid w:val="004E3307"/>
    <w:rsid w:val="004E3EEE"/>
    <w:rsid w:val="004E57F2"/>
    <w:rsid w:val="004E5895"/>
    <w:rsid w:val="004E5DB7"/>
    <w:rsid w:val="004E638B"/>
    <w:rsid w:val="004E7FA6"/>
    <w:rsid w:val="004F29C9"/>
    <w:rsid w:val="004F3DB1"/>
    <w:rsid w:val="004F4BD0"/>
    <w:rsid w:val="004F58B4"/>
    <w:rsid w:val="00501DF9"/>
    <w:rsid w:val="00502BC2"/>
    <w:rsid w:val="005031AE"/>
    <w:rsid w:val="00503AB8"/>
    <w:rsid w:val="00506B98"/>
    <w:rsid w:val="00510A92"/>
    <w:rsid w:val="00510F07"/>
    <w:rsid w:val="00515E4D"/>
    <w:rsid w:val="00517305"/>
    <w:rsid w:val="005205DF"/>
    <w:rsid w:val="005211EB"/>
    <w:rsid w:val="00521D3A"/>
    <w:rsid w:val="00521E70"/>
    <w:rsid w:val="00522F77"/>
    <w:rsid w:val="0052311E"/>
    <w:rsid w:val="00525A29"/>
    <w:rsid w:val="0052607B"/>
    <w:rsid w:val="00526542"/>
    <w:rsid w:val="00527ED6"/>
    <w:rsid w:val="005305A4"/>
    <w:rsid w:val="00530C05"/>
    <w:rsid w:val="0053110D"/>
    <w:rsid w:val="00531BBB"/>
    <w:rsid w:val="00532685"/>
    <w:rsid w:val="00534B3F"/>
    <w:rsid w:val="00541EEE"/>
    <w:rsid w:val="005439CD"/>
    <w:rsid w:val="005464B5"/>
    <w:rsid w:val="00546DA8"/>
    <w:rsid w:val="00546FA9"/>
    <w:rsid w:val="0055197C"/>
    <w:rsid w:val="00552B88"/>
    <w:rsid w:val="005544FD"/>
    <w:rsid w:val="005553CF"/>
    <w:rsid w:val="00556A48"/>
    <w:rsid w:val="00557883"/>
    <w:rsid w:val="005608C1"/>
    <w:rsid w:val="00560CB5"/>
    <w:rsid w:val="005645F3"/>
    <w:rsid w:val="00570030"/>
    <w:rsid w:val="00571498"/>
    <w:rsid w:val="00574C2A"/>
    <w:rsid w:val="00574D7C"/>
    <w:rsid w:val="00575C15"/>
    <w:rsid w:val="0057695F"/>
    <w:rsid w:val="00581793"/>
    <w:rsid w:val="00581C9A"/>
    <w:rsid w:val="00581D77"/>
    <w:rsid w:val="00582FB7"/>
    <w:rsid w:val="0058601C"/>
    <w:rsid w:val="005867A6"/>
    <w:rsid w:val="00593385"/>
    <w:rsid w:val="005936AB"/>
    <w:rsid w:val="00594B2C"/>
    <w:rsid w:val="00597C8A"/>
    <w:rsid w:val="00597DA6"/>
    <w:rsid w:val="005A0C26"/>
    <w:rsid w:val="005A0F0F"/>
    <w:rsid w:val="005A1075"/>
    <w:rsid w:val="005A11A3"/>
    <w:rsid w:val="005A11AA"/>
    <w:rsid w:val="005A4A17"/>
    <w:rsid w:val="005A6841"/>
    <w:rsid w:val="005A7747"/>
    <w:rsid w:val="005A7814"/>
    <w:rsid w:val="005A7F8E"/>
    <w:rsid w:val="005B0733"/>
    <w:rsid w:val="005B0C20"/>
    <w:rsid w:val="005B0DED"/>
    <w:rsid w:val="005B25FA"/>
    <w:rsid w:val="005B2AC5"/>
    <w:rsid w:val="005B48A5"/>
    <w:rsid w:val="005C0101"/>
    <w:rsid w:val="005C0983"/>
    <w:rsid w:val="005C22EA"/>
    <w:rsid w:val="005C339C"/>
    <w:rsid w:val="005C55BA"/>
    <w:rsid w:val="005D0294"/>
    <w:rsid w:val="005D1BB1"/>
    <w:rsid w:val="005D245C"/>
    <w:rsid w:val="005D2B42"/>
    <w:rsid w:val="005D346B"/>
    <w:rsid w:val="005D561B"/>
    <w:rsid w:val="005D5DEA"/>
    <w:rsid w:val="005D5F32"/>
    <w:rsid w:val="005D6438"/>
    <w:rsid w:val="005D7E42"/>
    <w:rsid w:val="005E217B"/>
    <w:rsid w:val="005E419D"/>
    <w:rsid w:val="005E42E0"/>
    <w:rsid w:val="005E4D73"/>
    <w:rsid w:val="005E524F"/>
    <w:rsid w:val="005E6193"/>
    <w:rsid w:val="005E6563"/>
    <w:rsid w:val="005F114B"/>
    <w:rsid w:val="005F5AA3"/>
    <w:rsid w:val="005F7764"/>
    <w:rsid w:val="00601CCF"/>
    <w:rsid w:val="00602296"/>
    <w:rsid w:val="0060556B"/>
    <w:rsid w:val="00606FD4"/>
    <w:rsid w:val="006119BD"/>
    <w:rsid w:val="00613110"/>
    <w:rsid w:val="00613D6C"/>
    <w:rsid w:val="00615940"/>
    <w:rsid w:val="00620207"/>
    <w:rsid w:val="006246F7"/>
    <w:rsid w:val="00624747"/>
    <w:rsid w:val="00624CD4"/>
    <w:rsid w:val="00631C78"/>
    <w:rsid w:val="0063367F"/>
    <w:rsid w:val="0063536C"/>
    <w:rsid w:val="00636205"/>
    <w:rsid w:val="00636AEB"/>
    <w:rsid w:val="00636D92"/>
    <w:rsid w:val="006371FF"/>
    <w:rsid w:val="00640A8E"/>
    <w:rsid w:val="00644F1C"/>
    <w:rsid w:val="00646E35"/>
    <w:rsid w:val="00647EC4"/>
    <w:rsid w:val="00652B33"/>
    <w:rsid w:val="00653A4C"/>
    <w:rsid w:val="00654694"/>
    <w:rsid w:val="006548AC"/>
    <w:rsid w:val="00654A07"/>
    <w:rsid w:val="00654D0A"/>
    <w:rsid w:val="006576B3"/>
    <w:rsid w:val="0066043C"/>
    <w:rsid w:val="006604A5"/>
    <w:rsid w:val="0066110D"/>
    <w:rsid w:val="006625DC"/>
    <w:rsid w:val="006710BA"/>
    <w:rsid w:val="00671A29"/>
    <w:rsid w:val="006758E7"/>
    <w:rsid w:val="00680601"/>
    <w:rsid w:val="00681647"/>
    <w:rsid w:val="00683B6F"/>
    <w:rsid w:val="00691222"/>
    <w:rsid w:val="00691AAE"/>
    <w:rsid w:val="00691D41"/>
    <w:rsid w:val="0069299D"/>
    <w:rsid w:val="006933C6"/>
    <w:rsid w:val="006935B0"/>
    <w:rsid w:val="00694C9E"/>
    <w:rsid w:val="006951C1"/>
    <w:rsid w:val="00696B77"/>
    <w:rsid w:val="006A0BB3"/>
    <w:rsid w:val="006A0E13"/>
    <w:rsid w:val="006A10F8"/>
    <w:rsid w:val="006A190F"/>
    <w:rsid w:val="006A1CBD"/>
    <w:rsid w:val="006A3B16"/>
    <w:rsid w:val="006A3ECF"/>
    <w:rsid w:val="006B0D9C"/>
    <w:rsid w:val="006B190C"/>
    <w:rsid w:val="006B1CDD"/>
    <w:rsid w:val="006B29F2"/>
    <w:rsid w:val="006B4269"/>
    <w:rsid w:val="006B584D"/>
    <w:rsid w:val="006B5A01"/>
    <w:rsid w:val="006B6341"/>
    <w:rsid w:val="006B695C"/>
    <w:rsid w:val="006B6C44"/>
    <w:rsid w:val="006C29BB"/>
    <w:rsid w:val="006C4A2E"/>
    <w:rsid w:val="006C5AC7"/>
    <w:rsid w:val="006C6741"/>
    <w:rsid w:val="006C7BD5"/>
    <w:rsid w:val="006D0B70"/>
    <w:rsid w:val="006D21C3"/>
    <w:rsid w:val="006D5C4A"/>
    <w:rsid w:val="006E048C"/>
    <w:rsid w:val="006E0586"/>
    <w:rsid w:val="006E0B66"/>
    <w:rsid w:val="006E0F3B"/>
    <w:rsid w:val="006E0F5E"/>
    <w:rsid w:val="006E3DD2"/>
    <w:rsid w:val="006E7805"/>
    <w:rsid w:val="006F1A21"/>
    <w:rsid w:val="006F225A"/>
    <w:rsid w:val="006F3972"/>
    <w:rsid w:val="006F4045"/>
    <w:rsid w:val="006F613B"/>
    <w:rsid w:val="006F62F5"/>
    <w:rsid w:val="006F6454"/>
    <w:rsid w:val="006F7BD0"/>
    <w:rsid w:val="00701550"/>
    <w:rsid w:val="0070188A"/>
    <w:rsid w:val="00703094"/>
    <w:rsid w:val="00703F5F"/>
    <w:rsid w:val="00704956"/>
    <w:rsid w:val="00704C94"/>
    <w:rsid w:val="00706373"/>
    <w:rsid w:val="00706D57"/>
    <w:rsid w:val="00711159"/>
    <w:rsid w:val="00711444"/>
    <w:rsid w:val="0071217E"/>
    <w:rsid w:val="0071442E"/>
    <w:rsid w:val="00714FC0"/>
    <w:rsid w:val="0071563F"/>
    <w:rsid w:val="00715ADF"/>
    <w:rsid w:val="007161B8"/>
    <w:rsid w:val="00716BBC"/>
    <w:rsid w:val="007173BC"/>
    <w:rsid w:val="00717689"/>
    <w:rsid w:val="00725F0C"/>
    <w:rsid w:val="00726331"/>
    <w:rsid w:val="007264F7"/>
    <w:rsid w:val="00732998"/>
    <w:rsid w:val="00734B11"/>
    <w:rsid w:val="00734BF8"/>
    <w:rsid w:val="00735A76"/>
    <w:rsid w:val="007365D0"/>
    <w:rsid w:val="00737769"/>
    <w:rsid w:val="00741214"/>
    <w:rsid w:val="0074244F"/>
    <w:rsid w:val="00744117"/>
    <w:rsid w:val="00750A0D"/>
    <w:rsid w:val="00753F67"/>
    <w:rsid w:val="007551AC"/>
    <w:rsid w:val="00755DF5"/>
    <w:rsid w:val="00756916"/>
    <w:rsid w:val="0075695C"/>
    <w:rsid w:val="00756A4E"/>
    <w:rsid w:val="00761343"/>
    <w:rsid w:val="007623FB"/>
    <w:rsid w:val="00762FA9"/>
    <w:rsid w:val="00762FFB"/>
    <w:rsid w:val="0076423A"/>
    <w:rsid w:val="007648B0"/>
    <w:rsid w:val="00764FD7"/>
    <w:rsid w:val="0076530C"/>
    <w:rsid w:val="00771206"/>
    <w:rsid w:val="007734BB"/>
    <w:rsid w:val="00774060"/>
    <w:rsid w:val="007775F8"/>
    <w:rsid w:val="00777D4A"/>
    <w:rsid w:val="007807E4"/>
    <w:rsid w:val="007810E9"/>
    <w:rsid w:val="00781613"/>
    <w:rsid w:val="00783B4D"/>
    <w:rsid w:val="00785AC3"/>
    <w:rsid w:val="00785F74"/>
    <w:rsid w:val="00790B1D"/>
    <w:rsid w:val="00796703"/>
    <w:rsid w:val="00796714"/>
    <w:rsid w:val="007A08EF"/>
    <w:rsid w:val="007A08F3"/>
    <w:rsid w:val="007A0DBA"/>
    <w:rsid w:val="007A2072"/>
    <w:rsid w:val="007A411D"/>
    <w:rsid w:val="007A5327"/>
    <w:rsid w:val="007B0104"/>
    <w:rsid w:val="007B0A3B"/>
    <w:rsid w:val="007B0FE4"/>
    <w:rsid w:val="007B15D8"/>
    <w:rsid w:val="007B1E4D"/>
    <w:rsid w:val="007B5D05"/>
    <w:rsid w:val="007C0FD6"/>
    <w:rsid w:val="007C14F0"/>
    <w:rsid w:val="007C3810"/>
    <w:rsid w:val="007C6354"/>
    <w:rsid w:val="007C6A8A"/>
    <w:rsid w:val="007D1993"/>
    <w:rsid w:val="007D367E"/>
    <w:rsid w:val="007D67D4"/>
    <w:rsid w:val="007D78ED"/>
    <w:rsid w:val="007D7D8D"/>
    <w:rsid w:val="007E1FC9"/>
    <w:rsid w:val="007E3113"/>
    <w:rsid w:val="007E4CBA"/>
    <w:rsid w:val="007E5B31"/>
    <w:rsid w:val="007F0198"/>
    <w:rsid w:val="007F1791"/>
    <w:rsid w:val="007F3EA0"/>
    <w:rsid w:val="007F67C2"/>
    <w:rsid w:val="0080166D"/>
    <w:rsid w:val="0080267B"/>
    <w:rsid w:val="00802CE2"/>
    <w:rsid w:val="00802E4C"/>
    <w:rsid w:val="008061DE"/>
    <w:rsid w:val="00812E34"/>
    <w:rsid w:val="00815ACE"/>
    <w:rsid w:val="008167BD"/>
    <w:rsid w:val="00823B81"/>
    <w:rsid w:val="008258FF"/>
    <w:rsid w:val="00825BF6"/>
    <w:rsid w:val="00831372"/>
    <w:rsid w:val="00831CD5"/>
    <w:rsid w:val="00843EEB"/>
    <w:rsid w:val="00843FA1"/>
    <w:rsid w:val="00845E60"/>
    <w:rsid w:val="00850E28"/>
    <w:rsid w:val="00851C91"/>
    <w:rsid w:val="00851F19"/>
    <w:rsid w:val="008526D8"/>
    <w:rsid w:val="00853506"/>
    <w:rsid w:val="00854A43"/>
    <w:rsid w:val="008555AF"/>
    <w:rsid w:val="008570B2"/>
    <w:rsid w:val="0086018A"/>
    <w:rsid w:val="00862121"/>
    <w:rsid w:val="008640AF"/>
    <w:rsid w:val="00865058"/>
    <w:rsid w:val="00872ABB"/>
    <w:rsid w:val="00873717"/>
    <w:rsid w:val="008801D4"/>
    <w:rsid w:val="00880391"/>
    <w:rsid w:val="00882122"/>
    <w:rsid w:val="008839A2"/>
    <w:rsid w:val="0088474D"/>
    <w:rsid w:val="0088567D"/>
    <w:rsid w:val="008858CA"/>
    <w:rsid w:val="00885955"/>
    <w:rsid w:val="00887479"/>
    <w:rsid w:val="00891C42"/>
    <w:rsid w:val="00894867"/>
    <w:rsid w:val="00897594"/>
    <w:rsid w:val="008A0F78"/>
    <w:rsid w:val="008A1440"/>
    <w:rsid w:val="008A5B65"/>
    <w:rsid w:val="008A7D1C"/>
    <w:rsid w:val="008B07CF"/>
    <w:rsid w:val="008B5149"/>
    <w:rsid w:val="008C24EB"/>
    <w:rsid w:val="008C5456"/>
    <w:rsid w:val="008C5D2E"/>
    <w:rsid w:val="008D03CB"/>
    <w:rsid w:val="008D0938"/>
    <w:rsid w:val="008D19E2"/>
    <w:rsid w:val="008E13AE"/>
    <w:rsid w:val="008E20EF"/>
    <w:rsid w:val="008E2B6E"/>
    <w:rsid w:val="008E3141"/>
    <w:rsid w:val="008E31E0"/>
    <w:rsid w:val="008E471A"/>
    <w:rsid w:val="008E4E22"/>
    <w:rsid w:val="008E76B5"/>
    <w:rsid w:val="008F174C"/>
    <w:rsid w:val="008F2F11"/>
    <w:rsid w:val="008F4CAF"/>
    <w:rsid w:val="008F6392"/>
    <w:rsid w:val="008F63D9"/>
    <w:rsid w:val="008F6791"/>
    <w:rsid w:val="008F787A"/>
    <w:rsid w:val="00901261"/>
    <w:rsid w:val="0090135E"/>
    <w:rsid w:val="00901A05"/>
    <w:rsid w:val="00904595"/>
    <w:rsid w:val="00910EEB"/>
    <w:rsid w:val="00911252"/>
    <w:rsid w:val="00911C0E"/>
    <w:rsid w:val="00916A52"/>
    <w:rsid w:val="0092644A"/>
    <w:rsid w:val="00930686"/>
    <w:rsid w:val="00931A2B"/>
    <w:rsid w:val="00932056"/>
    <w:rsid w:val="009321D9"/>
    <w:rsid w:val="0093473F"/>
    <w:rsid w:val="0093566D"/>
    <w:rsid w:val="00935CFB"/>
    <w:rsid w:val="00937C23"/>
    <w:rsid w:val="00940AB7"/>
    <w:rsid w:val="0094182F"/>
    <w:rsid w:val="00942465"/>
    <w:rsid w:val="00943DA5"/>
    <w:rsid w:val="00946102"/>
    <w:rsid w:val="009467B8"/>
    <w:rsid w:val="009478F3"/>
    <w:rsid w:val="00947939"/>
    <w:rsid w:val="00953A8C"/>
    <w:rsid w:val="00954510"/>
    <w:rsid w:val="0095519D"/>
    <w:rsid w:val="0095536E"/>
    <w:rsid w:val="00955B1F"/>
    <w:rsid w:val="00955E74"/>
    <w:rsid w:val="0095649A"/>
    <w:rsid w:val="0095745D"/>
    <w:rsid w:val="009603F6"/>
    <w:rsid w:val="0096127D"/>
    <w:rsid w:val="00963322"/>
    <w:rsid w:val="00964831"/>
    <w:rsid w:val="00964B1D"/>
    <w:rsid w:val="00967162"/>
    <w:rsid w:val="009704A5"/>
    <w:rsid w:val="0097085A"/>
    <w:rsid w:val="009745AD"/>
    <w:rsid w:val="009749F4"/>
    <w:rsid w:val="00974E29"/>
    <w:rsid w:val="009765D8"/>
    <w:rsid w:val="00981E8E"/>
    <w:rsid w:val="00982170"/>
    <w:rsid w:val="00982C33"/>
    <w:rsid w:val="0098385C"/>
    <w:rsid w:val="009842C5"/>
    <w:rsid w:val="00984E91"/>
    <w:rsid w:val="00990432"/>
    <w:rsid w:val="009929EB"/>
    <w:rsid w:val="00993310"/>
    <w:rsid w:val="00994C52"/>
    <w:rsid w:val="00995676"/>
    <w:rsid w:val="0099583E"/>
    <w:rsid w:val="00995CD5"/>
    <w:rsid w:val="00996808"/>
    <w:rsid w:val="0099729B"/>
    <w:rsid w:val="0099736B"/>
    <w:rsid w:val="009A4F87"/>
    <w:rsid w:val="009A6F6B"/>
    <w:rsid w:val="009A6F90"/>
    <w:rsid w:val="009A76F6"/>
    <w:rsid w:val="009B2500"/>
    <w:rsid w:val="009B3F4A"/>
    <w:rsid w:val="009B4298"/>
    <w:rsid w:val="009C2518"/>
    <w:rsid w:val="009C3C48"/>
    <w:rsid w:val="009C71BE"/>
    <w:rsid w:val="009D0CA2"/>
    <w:rsid w:val="009D2342"/>
    <w:rsid w:val="009D2432"/>
    <w:rsid w:val="009D3733"/>
    <w:rsid w:val="009D5157"/>
    <w:rsid w:val="009D5DE0"/>
    <w:rsid w:val="009D7C1A"/>
    <w:rsid w:val="009D7DD9"/>
    <w:rsid w:val="009D7E23"/>
    <w:rsid w:val="009E1D23"/>
    <w:rsid w:val="009E233C"/>
    <w:rsid w:val="009E28B0"/>
    <w:rsid w:val="009E43C8"/>
    <w:rsid w:val="009F08D2"/>
    <w:rsid w:val="009F2929"/>
    <w:rsid w:val="009F3EA8"/>
    <w:rsid w:val="009F5AB4"/>
    <w:rsid w:val="009F73FC"/>
    <w:rsid w:val="00A008AD"/>
    <w:rsid w:val="00A008B9"/>
    <w:rsid w:val="00A015C0"/>
    <w:rsid w:val="00A11F99"/>
    <w:rsid w:val="00A131CF"/>
    <w:rsid w:val="00A14338"/>
    <w:rsid w:val="00A148DA"/>
    <w:rsid w:val="00A15C35"/>
    <w:rsid w:val="00A16DC0"/>
    <w:rsid w:val="00A2003F"/>
    <w:rsid w:val="00A20D56"/>
    <w:rsid w:val="00A22652"/>
    <w:rsid w:val="00A23EBD"/>
    <w:rsid w:val="00A24F8F"/>
    <w:rsid w:val="00A25B39"/>
    <w:rsid w:val="00A25B48"/>
    <w:rsid w:val="00A27418"/>
    <w:rsid w:val="00A275DA"/>
    <w:rsid w:val="00A3504F"/>
    <w:rsid w:val="00A35585"/>
    <w:rsid w:val="00A35E90"/>
    <w:rsid w:val="00A36075"/>
    <w:rsid w:val="00A379B6"/>
    <w:rsid w:val="00A42B17"/>
    <w:rsid w:val="00A43BD2"/>
    <w:rsid w:val="00A4491B"/>
    <w:rsid w:val="00A460B2"/>
    <w:rsid w:val="00A46701"/>
    <w:rsid w:val="00A471E1"/>
    <w:rsid w:val="00A503DF"/>
    <w:rsid w:val="00A50A42"/>
    <w:rsid w:val="00A51FDF"/>
    <w:rsid w:val="00A5290B"/>
    <w:rsid w:val="00A52B45"/>
    <w:rsid w:val="00A53343"/>
    <w:rsid w:val="00A5647D"/>
    <w:rsid w:val="00A5732D"/>
    <w:rsid w:val="00A57C1D"/>
    <w:rsid w:val="00A602BD"/>
    <w:rsid w:val="00A621E3"/>
    <w:rsid w:val="00A6221A"/>
    <w:rsid w:val="00A62E4A"/>
    <w:rsid w:val="00A64007"/>
    <w:rsid w:val="00A70026"/>
    <w:rsid w:val="00A700A6"/>
    <w:rsid w:val="00A703DD"/>
    <w:rsid w:val="00A74FE7"/>
    <w:rsid w:val="00A75783"/>
    <w:rsid w:val="00A80A7F"/>
    <w:rsid w:val="00A82C63"/>
    <w:rsid w:val="00A82E46"/>
    <w:rsid w:val="00A863F5"/>
    <w:rsid w:val="00A86441"/>
    <w:rsid w:val="00A90872"/>
    <w:rsid w:val="00A92744"/>
    <w:rsid w:val="00A934A9"/>
    <w:rsid w:val="00AA23DD"/>
    <w:rsid w:val="00AA2726"/>
    <w:rsid w:val="00AA2E12"/>
    <w:rsid w:val="00AA3251"/>
    <w:rsid w:val="00AA54DC"/>
    <w:rsid w:val="00AA7879"/>
    <w:rsid w:val="00AB1ED0"/>
    <w:rsid w:val="00AB25F5"/>
    <w:rsid w:val="00AB4A85"/>
    <w:rsid w:val="00AB633D"/>
    <w:rsid w:val="00AB6559"/>
    <w:rsid w:val="00AB721F"/>
    <w:rsid w:val="00AC04F6"/>
    <w:rsid w:val="00AC0964"/>
    <w:rsid w:val="00AC09C9"/>
    <w:rsid w:val="00AC2485"/>
    <w:rsid w:val="00AC4071"/>
    <w:rsid w:val="00AC6A14"/>
    <w:rsid w:val="00AC71BC"/>
    <w:rsid w:val="00AD019A"/>
    <w:rsid w:val="00AD08F0"/>
    <w:rsid w:val="00AD1827"/>
    <w:rsid w:val="00AD2758"/>
    <w:rsid w:val="00AD2D87"/>
    <w:rsid w:val="00AD3D1D"/>
    <w:rsid w:val="00AD5E83"/>
    <w:rsid w:val="00AD6127"/>
    <w:rsid w:val="00AD6587"/>
    <w:rsid w:val="00AD68F2"/>
    <w:rsid w:val="00AE25F8"/>
    <w:rsid w:val="00AE4437"/>
    <w:rsid w:val="00AE4918"/>
    <w:rsid w:val="00AE68F5"/>
    <w:rsid w:val="00AE7D42"/>
    <w:rsid w:val="00AF31FC"/>
    <w:rsid w:val="00AF4037"/>
    <w:rsid w:val="00B00134"/>
    <w:rsid w:val="00B00F97"/>
    <w:rsid w:val="00B01515"/>
    <w:rsid w:val="00B02BB3"/>
    <w:rsid w:val="00B06D35"/>
    <w:rsid w:val="00B075F4"/>
    <w:rsid w:val="00B12412"/>
    <w:rsid w:val="00B1350B"/>
    <w:rsid w:val="00B13E4D"/>
    <w:rsid w:val="00B1486A"/>
    <w:rsid w:val="00B14924"/>
    <w:rsid w:val="00B16186"/>
    <w:rsid w:val="00B201E1"/>
    <w:rsid w:val="00B2086E"/>
    <w:rsid w:val="00B22B3A"/>
    <w:rsid w:val="00B24BA9"/>
    <w:rsid w:val="00B278E7"/>
    <w:rsid w:val="00B319F9"/>
    <w:rsid w:val="00B32B71"/>
    <w:rsid w:val="00B34260"/>
    <w:rsid w:val="00B34FA6"/>
    <w:rsid w:val="00B360CD"/>
    <w:rsid w:val="00B45B93"/>
    <w:rsid w:val="00B46827"/>
    <w:rsid w:val="00B476FA"/>
    <w:rsid w:val="00B47702"/>
    <w:rsid w:val="00B52C59"/>
    <w:rsid w:val="00B53BDF"/>
    <w:rsid w:val="00B55104"/>
    <w:rsid w:val="00B55F92"/>
    <w:rsid w:val="00B56278"/>
    <w:rsid w:val="00B56668"/>
    <w:rsid w:val="00B57750"/>
    <w:rsid w:val="00B6172D"/>
    <w:rsid w:val="00B6578B"/>
    <w:rsid w:val="00B65FD5"/>
    <w:rsid w:val="00B67844"/>
    <w:rsid w:val="00B70713"/>
    <w:rsid w:val="00B70F2E"/>
    <w:rsid w:val="00B7100F"/>
    <w:rsid w:val="00B72EBD"/>
    <w:rsid w:val="00B76CAF"/>
    <w:rsid w:val="00B76E64"/>
    <w:rsid w:val="00B76F2E"/>
    <w:rsid w:val="00B77311"/>
    <w:rsid w:val="00B777D5"/>
    <w:rsid w:val="00B81F6A"/>
    <w:rsid w:val="00B842CF"/>
    <w:rsid w:val="00B84DD2"/>
    <w:rsid w:val="00B86480"/>
    <w:rsid w:val="00B86C83"/>
    <w:rsid w:val="00B87415"/>
    <w:rsid w:val="00B87830"/>
    <w:rsid w:val="00B90161"/>
    <w:rsid w:val="00B90E81"/>
    <w:rsid w:val="00B9147B"/>
    <w:rsid w:val="00B9266C"/>
    <w:rsid w:val="00B9301D"/>
    <w:rsid w:val="00BA051D"/>
    <w:rsid w:val="00BA07DB"/>
    <w:rsid w:val="00BA0B3A"/>
    <w:rsid w:val="00BA3E11"/>
    <w:rsid w:val="00BA6205"/>
    <w:rsid w:val="00BA73AC"/>
    <w:rsid w:val="00BB0363"/>
    <w:rsid w:val="00BB0B51"/>
    <w:rsid w:val="00BB2960"/>
    <w:rsid w:val="00BB3B62"/>
    <w:rsid w:val="00BB4D53"/>
    <w:rsid w:val="00BB73AC"/>
    <w:rsid w:val="00BC0220"/>
    <w:rsid w:val="00BC2F97"/>
    <w:rsid w:val="00BC5374"/>
    <w:rsid w:val="00BC6728"/>
    <w:rsid w:val="00BC7338"/>
    <w:rsid w:val="00BC74D3"/>
    <w:rsid w:val="00BC78AD"/>
    <w:rsid w:val="00BD2049"/>
    <w:rsid w:val="00BD265F"/>
    <w:rsid w:val="00BD3E1E"/>
    <w:rsid w:val="00BD61D8"/>
    <w:rsid w:val="00BD6B54"/>
    <w:rsid w:val="00BE30FA"/>
    <w:rsid w:val="00BE3BE9"/>
    <w:rsid w:val="00BE65CD"/>
    <w:rsid w:val="00BF17B4"/>
    <w:rsid w:val="00BF3EC9"/>
    <w:rsid w:val="00BF42B9"/>
    <w:rsid w:val="00C04E8A"/>
    <w:rsid w:val="00C06ADE"/>
    <w:rsid w:val="00C073F9"/>
    <w:rsid w:val="00C07E1C"/>
    <w:rsid w:val="00C1161D"/>
    <w:rsid w:val="00C1200A"/>
    <w:rsid w:val="00C1357D"/>
    <w:rsid w:val="00C1498D"/>
    <w:rsid w:val="00C1551B"/>
    <w:rsid w:val="00C208A9"/>
    <w:rsid w:val="00C20BF0"/>
    <w:rsid w:val="00C2186B"/>
    <w:rsid w:val="00C21DDC"/>
    <w:rsid w:val="00C22E78"/>
    <w:rsid w:val="00C2360E"/>
    <w:rsid w:val="00C26925"/>
    <w:rsid w:val="00C2722F"/>
    <w:rsid w:val="00C27B7F"/>
    <w:rsid w:val="00C322E9"/>
    <w:rsid w:val="00C33E40"/>
    <w:rsid w:val="00C35258"/>
    <w:rsid w:val="00C355BE"/>
    <w:rsid w:val="00C3621A"/>
    <w:rsid w:val="00C36A37"/>
    <w:rsid w:val="00C36AB0"/>
    <w:rsid w:val="00C41F36"/>
    <w:rsid w:val="00C437FC"/>
    <w:rsid w:val="00C438C4"/>
    <w:rsid w:val="00C45150"/>
    <w:rsid w:val="00C45443"/>
    <w:rsid w:val="00C460E7"/>
    <w:rsid w:val="00C4746B"/>
    <w:rsid w:val="00C51374"/>
    <w:rsid w:val="00C57BF3"/>
    <w:rsid w:val="00C60F76"/>
    <w:rsid w:val="00C61832"/>
    <w:rsid w:val="00C624C3"/>
    <w:rsid w:val="00C6510B"/>
    <w:rsid w:val="00C664F5"/>
    <w:rsid w:val="00C706F5"/>
    <w:rsid w:val="00C7320A"/>
    <w:rsid w:val="00C73305"/>
    <w:rsid w:val="00C73B5A"/>
    <w:rsid w:val="00C74104"/>
    <w:rsid w:val="00C7434C"/>
    <w:rsid w:val="00C7692A"/>
    <w:rsid w:val="00C77480"/>
    <w:rsid w:val="00C80601"/>
    <w:rsid w:val="00C8084E"/>
    <w:rsid w:val="00C8114D"/>
    <w:rsid w:val="00C820FC"/>
    <w:rsid w:val="00C83AD5"/>
    <w:rsid w:val="00C90B19"/>
    <w:rsid w:val="00C93BB2"/>
    <w:rsid w:val="00C95F6A"/>
    <w:rsid w:val="00CA01FB"/>
    <w:rsid w:val="00CA0685"/>
    <w:rsid w:val="00CA0815"/>
    <w:rsid w:val="00CA22F2"/>
    <w:rsid w:val="00CA3E9A"/>
    <w:rsid w:val="00CA45BB"/>
    <w:rsid w:val="00CA4E10"/>
    <w:rsid w:val="00CB027E"/>
    <w:rsid w:val="00CB0803"/>
    <w:rsid w:val="00CB2D0B"/>
    <w:rsid w:val="00CB2F5E"/>
    <w:rsid w:val="00CB37EB"/>
    <w:rsid w:val="00CB41FD"/>
    <w:rsid w:val="00CB6D33"/>
    <w:rsid w:val="00CB71CF"/>
    <w:rsid w:val="00CB7BDC"/>
    <w:rsid w:val="00CC0269"/>
    <w:rsid w:val="00CC1F28"/>
    <w:rsid w:val="00CC2609"/>
    <w:rsid w:val="00CC370B"/>
    <w:rsid w:val="00CC5BC4"/>
    <w:rsid w:val="00CC78A0"/>
    <w:rsid w:val="00CD061E"/>
    <w:rsid w:val="00CD0628"/>
    <w:rsid w:val="00CD07B6"/>
    <w:rsid w:val="00CE01AA"/>
    <w:rsid w:val="00CE16E4"/>
    <w:rsid w:val="00CE35B8"/>
    <w:rsid w:val="00CE4983"/>
    <w:rsid w:val="00CE75F2"/>
    <w:rsid w:val="00CE79D5"/>
    <w:rsid w:val="00CF2461"/>
    <w:rsid w:val="00CF3E64"/>
    <w:rsid w:val="00CF42C1"/>
    <w:rsid w:val="00CF6DF8"/>
    <w:rsid w:val="00CF7F09"/>
    <w:rsid w:val="00D0012B"/>
    <w:rsid w:val="00D006C3"/>
    <w:rsid w:val="00D0514E"/>
    <w:rsid w:val="00D0603A"/>
    <w:rsid w:val="00D0623F"/>
    <w:rsid w:val="00D06D90"/>
    <w:rsid w:val="00D103F0"/>
    <w:rsid w:val="00D13922"/>
    <w:rsid w:val="00D13B71"/>
    <w:rsid w:val="00D15C0F"/>
    <w:rsid w:val="00D16482"/>
    <w:rsid w:val="00D16A9D"/>
    <w:rsid w:val="00D176F1"/>
    <w:rsid w:val="00D211F9"/>
    <w:rsid w:val="00D21527"/>
    <w:rsid w:val="00D22F4F"/>
    <w:rsid w:val="00D23F3D"/>
    <w:rsid w:val="00D25022"/>
    <w:rsid w:val="00D25DD7"/>
    <w:rsid w:val="00D27F26"/>
    <w:rsid w:val="00D31A96"/>
    <w:rsid w:val="00D323A3"/>
    <w:rsid w:val="00D32F90"/>
    <w:rsid w:val="00D33711"/>
    <w:rsid w:val="00D34E74"/>
    <w:rsid w:val="00D371B9"/>
    <w:rsid w:val="00D37495"/>
    <w:rsid w:val="00D374A6"/>
    <w:rsid w:val="00D4169B"/>
    <w:rsid w:val="00D42DBC"/>
    <w:rsid w:val="00D46C0B"/>
    <w:rsid w:val="00D5157C"/>
    <w:rsid w:val="00D51CCB"/>
    <w:rsid w:val="00D521C3"/>
    <w:rsid w:val="00D53BA2"/>
    <w:rsid w:val="00D5571F"/>
    <w:rsid w:val="00D60FEC"/>
    <w:rsid w:val="00D61531"/>
    <w:rsid w:val="00D619EA"/>
    <w:rsid w:val="00D633D9"/>
    <w:rsid w:val="00D63DD0"/>
    <w:rsid w:val="00D650A2"/>
    <w:rsid w:val="00D66D30"/>
    <w:rsid w:val="00D708B2"/>
    <w:rsid w:val="00D70C76"/>
    <w:rsid w:val="00D74E29"/>
    <w:rsid w:val="00D75485"/>
    <w:rsid w:val="00D75BF4"/>
    <w:rsid w:val="00D76CE4"/>
    <w:rsid w:val="00D76F85"/>
    <w:rsid w:val="00D771D5"/>
    <w:rsid w:val="00D80C56"/>
    <w:rsid w:val="00D81834"/>
    <w:rsid w:val="00D81AB8"/>
    <w:rsid w:val="00D824CA"/>
    <w:rsid w:val="00D83265"/>
    <w:rsid w:val="00D837F4"/>
    <w:rsid w:val="00D84622"/>
    <w:rsid w:val="00D93C35"/>
    <w:rsid w:val="00D96DC3"/>
    <w:rsid w:val="00D97B74"/>
    <w:rsid w:val="00DA1622"/>
    <w:rsid w:val="00DA2CF1"/>
    <w:rsid w:val="00DA33C8"/>
    <w:rsid w:val="00DA4B56"/>
    <w:rsid w:val="00DB07EA"/>
    <w:rsid w:val="00DB0BF6"/>
    <w:rsid w:val="00DB0CE3"/>
    <w:rsid w:val="00DB1121"/>
    <w:rsid w:val="00DB1500"/>
    <w:rsid w:val="00DB1EA5"/>
    <w:rsid w:val="00DB6731"/>
    <w:rsid w:val="00DB7D17"/>
    <w:rsid w:val="00DB7E13"/>
    <w:rsid w:val="00DC1C20"/>
    <w:rsid w:val="00DC24E0"/>
    <w:rsid w:val="00DC2A87"/>
    <w:rsid w:val="00DC6F44"/>
    <w:rsid w:val="00DD12E5"/>
    <w:rsid w:val="00DD349F"/>
    <w:rsid w:val="00DD4FAA"/>
    <w:rsid w:val="00DD5AD4"/>
    <w:rsid w:val="00DD639F"/>
    <w:rsid w:val="00DE129C"/>
    <w:rsid w:val="00DE1F5E"/>
    <w:rsid w:val="00DE2E68"/>
    <w:rsid w:val="00DE2EA8"/>
    <w:rsid w:val="00DE344D"/>
    <w:rsid w:val="00DE3471"/>
    <w:rsid w:val="00DF0D7A"/>
    <w:rsid w:val="00DF1443"/>
    <w:rsid w:val="00DF3C5F"/>
    <w:rsid w:val="00DF5569"/>
    <w:rsid w:val="00DF68F5"/>
    <w:rsid w:val="00E00616"/>
    <w:rsid w:val="00E0197B"/>
    <w:rsid w:val="00E024CE"/>
    <w:rsid w:val="00E0473E"/>
    <w:rsid w:val="00E10B80"/>
    <w:rsid w:val="00E10E8D"/>
    <w:rsid w:val="00E12C38"/>
    <w:rsid w:val="00E13350"/>
    <w:rsid w:val="00E13B0C"/>
    <w:rsid w:val="00E1481C"/>
    <w:rsid w:val="00E1554A"/>
    <w:rsid w:val="00E20095"/>
    <w:rsid w:val="00E2057A"/>
    <w:rsid w:val="00E20CAF"/>
    <w:rsid w:val="00E20E29"/>
    <w:rsid w:val="00E243D1"/>
    <w:rsid w:val="00E25205"/>
    <w:rsid w:val="00E26062"/>
    <w:rsid w:val="00E26D57"/>
    <w:rsid w:val="00E32DEA"/>
    <w:rsid w:val="00E40E74"/>
    <w:rsid w:val="00E4198C"/>
    <w:rsid w:val="00E423F6"/>
    <w:rsid w:val="00E42B00"/>
    <w:rsid w:val="00E44D5D"/>
    <w:rsid w:val="00E457D5"/>
    <w:rsid w:val="00E45D02"/>
    <w:rsid w:val="00E510C7"/>
    <w:rsid w:val="00E519D7"/>
    <w:rsid w:val="00E52E3F"/>
    <w:rsid w:val="00E52EE6"/>
    <w:rsid w:val="00E53AC2"/>
    <w:rsid w:val="00E56721"/>
    <w:rsid w:val="00E57319"/>
    <w:rsid w:val="00E61208"/>
    <w:rsid w:val="00E61818"/>
    <w:rsid w:val="00E621C9"/>
    <w:rsid w:val="00E62A51"/>
    <w:rsid w:val="00E63261"/>
    <w:rsid w:val="00E64B19"/>
    <w:rsid w:val="00E65ABB"/>
    <w:rsid w:val="00E67ECF"/>
    <w:rsid w:val="00E70A5B"/>
    <w:rsid w:val="00E724EC"/>
    <w:rsid w:val="00E73923"/>
    <w:rsid w:val="00E73AFE"/>
    <w:rsid w:val="00E76A1B"/>
    <w:rsid w:val="00E77A4D"/>
    <w:rsid w:val="00E77FC3"/>
    <w:rsid w:val="00E82271"/>
    <w:rsid w:val="00E835B2"/>
    <w:rsid w:val="00E84D84"/>
    <w:rsid w:val="00E85355"/>
    <w:rsid w:val="00E85C5D"/>
    <w:rsid w:val="00E85E38"/>
    <w:rsid w:val="00E86388"/>
    <w:rsid w:val="00E877F9"/>
    <w:rsid w:val="00E90435"/>
    <w:rsid w:val="00E923E7"/>
    <w:rsid w:val="00E92FA7"/>
    <w:rsid w:val="00E940E9"/>
    <w:rsid w:val="00EA210A"/>
    <w:rsid w:val="00EA2CA4"/>
    <w:rsid w:val="00EA3522"/>
    <w:rsid w:val="00EA6C58"/>
    <w:rsid w:val="00EA7956"/>
    <w:rsid w:val="00EB34F7"/>
    <w:rsid w:val="00EB41F4"/>
    <w:rsid w:val="00EB4F23"/>
    <w:rsid w:val="00EB6A69"/>
    <w:rsid w:val="00EC045E"/>
    <w:rsid w:val="00EC27AD"/>
    <w:rsid w:val="00EC64A5"/>
    <w:rsid w:val="00EC745E"/>
    <w:rsid w:val="00ED0E20"/>
    <w:rsid w:val="00ED17A3"/>
    <w:rsid w:val="00ED25BA"/>
    <w:rsid w:val="00ED5016"/>
    <w:rsid w:val="00ED5AEA"/>
    <w:rsid w:val="00ED6FFE"/>
    <w:rsid w:val="00EE0D0F"/>
    <w:rsid w:val="00EE2CF8"/>
    <w:rsid w:val="00EE3E29"/>
    <w:rsid w:val="00EE414C"/>
    <w:rsid w:val="00EE49D9"/>
    <w:rsid w:val="00EE4A95"/>
    <w:rsid w:val="00EE5F79"/>
    <w:rsid w:val="00EF0E1C"/>
    <w:rsid w:val="00EF124C"/>
    <w:rsid w:val="00EF2D59"/>
    <w:rsid w:val="00EF2D84"/>
    <w:rsid w:val="00EF3E9F"/>
    <w:rsid w:val="00EF493C"/>
    <w:rsid w:val="00EF69E4"/>
    <w:rsid w:val="00EF6F88"/>
    <w:rsid w:val="00F0103B"/>
    <w:rsid w:val="00F016DC"/>
    <w:rsid w:val="00F01C3E"/>
    <w:rsid w:val="00F02A51"/>
    <w:rsid w:val="00F042D1"/>
    <w:rsid w:val="00F05E7F"/>
    <w:rsid w:val="00F06D51"/>
    <w:rsid w:val="00F10C1E"/>
    <w:rsid w:val="00F15E32"/>
    <w:rsid w:val="00F16E52"/>
    <w:rsid w:val="00F17DF4"/>
    <w:rsid w:val="00F21F65"/>
    <w:rsid w:val="00F220E8"/>
    <w:rsid w:val="00F25EBC"/>
    <w:rsid w:val="00F2710E"/>
    <w:rsid w:val="00F27826"/>
    <w:rsid w:val="00F27BC6"/>
    <w:rsid w:val="00F30306"/>
    <w:rsid w:val="00F32645"/>
    <w:rsid w:val="00F33642"/>
    <w:rsid w:val="00F35475"/>
    <w:rsid w:val="00F35734"/>
    <w:rsid w:val="00F3763B"/>
    <w:rsid w:val="00F37CD6"/>
    <w:rsid w:val="00F413F8"/>
    <w:rsid w:val="00F41F5E"/>
    <w:rsid w:val="00F50740"/>
    <w:rsid w:val="00F50A60"/>
    <w:rsid w:val="00F52132"/>
    <w:rsid w:val="00F53A98"/>
    <w:rsid w:val="00F54FEC"/>
    <w:rsid w:val="00F55742"/>
    <w:rsid w:val="00F566C3"/>
    <w:rsid w:val="00F60507"/>
    <w:rsid w:val="00F60C22"/>
    <w:rsid w:val="00F642B7"/>
    <w:rsid w:val="00F67EC5"/>
    <w:rsid w:val="00F70359"/>
    <w:rsid w:val="00F73DC3"/>
    <w:rsid w:val="00F744E8"/>
    <w:rsid w:val="00F80708"/>
    <w:rsid w:val="00F80D94"/>
    <w:rsid w:val="00F81B7A"/>
    <w:rsid w:val="00F81D01"/>
    <w:rsid w:val="00F8285B"/>
    <w:rsid w:val="00F8480A"/>
    <w:rsid w:val="00F90F46"/>
    <w:rsid w:val="00F910C5"/>
    <w:rsid w:val="00F92FA0"/>
    <w:rsid w:val="00F931DD"/>
    <w:rsid w:val="00F93543"/>
    <w:rsid w:val="00F93F57"/>
    <w:rsid w:val="00F949DF"/>
    <w:rsid w:val="00F971F7"/>
    <w:rsid w:val="00F9775D"/>
    <w:rsid w:val="00FA0E49"/>
    <w:rsid w:val="00FA196A"/>
    <w:rsid w:val="00FA26E1"/>
    <w:rsid w:val="00FA3395"/>
    <w:rsid w:val="00FA6CE6"/>
    <w:rsid w:val="00FA7A1B"/>
    <w:rsid w:val="00FB1826"/>
    <w:rsid w:val="00FB306D"/>
    <w:rsid w:val="00FB337D"/>
    <w:rsid w:val="00FB442F"/>
    <w:rsid w:val="00FC0E9E"/>
    <w:rsid w:val="00FC15E2"/>
    <w:rsid w:val="00FC4BDC"/>
    <w:rsid w:val="00FD2341"/>
    <w:rsid w:val="00FD47D7"/>
    <w:rsid w:val="00FD4C80"/>
    <w:rsid w:val="00FD7571"/>
    <w:rsid w:val="00FE0DC9"/>
    <w:rsid w:val="00FE3183"/>
    <w:rsid w:val="00FE33D9"/>
    <w:rsid w:val="00FE5F9F"/>
    <w:rsid w:val="00FF0CE6"/>
    <w:rsid w:val="00FF147D"/>
    <w:rsid w:val="00FF2689"/>
    <w:rsid w:val="00FF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08AD"/>
    <w:pPr>
      <w:ind w:left="720"/>
      <w:contextualSpacing/>
    </w:pPr>
  </w:style>
  <w:style w:type="character" w:customStyle="1" w:styleId="s102">
    <w:name w:val="s_102"/>
    <w:basedOn w:val="a0"/>
    <w:rsid w:val="009C251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07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3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2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7619307329973048E-2"/>
          <c:y val="0"/>
          <c:w val="0.97238073808645398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58 % Образование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18%</a:t>
                    </a:r>
                    <a:r>
                      <a:rPr lang="ru-RU" baseline="0"/>
                      <a:t> Здраохранение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0.16921699380039912"/>
                  <c:y val="9.2449267918269713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8%</a:t>
                    </a:r>
                    <a:r>
                      <a:rPr lang="ru-RU" baseline="0"/>
                      <a:t> Общегосударственные вопросы</a:t>
                    </a:r>
                  </a:p>
                  <a:p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Лист1!$A$2:$A$8</c:f>
              <c:strCache>
                <c:ptCount val="7"/>
                <c:pt idx="0">
                  <c:v>Образование</c:v>
                </c:pt>
                <c:pt idx="1">
                  <c:v>Культура</c:v>
                </c:pt>
                <c:pt idx="2">
                  <c:v>Здравохранене</c:v>
                </c:pt>
                <c:pt idx="3">
                  <c:v>Соц.политика</c:v>
                </c:pt>
                <c:pt idx="4">
                  <c:v>Общегосуд. Вопросы</c:v>
                </c:pt>
                <c:pt idx="5">
                  <c:v>Национальная безопасность</c:v>
                </c:pt>
                <c:pt idx="6">
                  <c:v>Национальная экономика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58</c:v>
                </c:pt>
                <c:pt idx="1">
                  <c:v>4</c:v>
                </c:pt>
                <c:pt idx="2">
                  <c:v>18</c:v>
                </c:pt>
                <c:pt idx="3">
                  <c:v>4</c:v>
                </c:pt>
                <c:pt idx="4">
                  <c:v>8</c:v>
                </c:pt>
                <c:pt idx="5" formatCode="0%">
                  <c:v>1</c:v>
                </c:pt>
                <c:pt idx="6">
                  <c:v>1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151 тыс. руб.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ru-RU" baseline="0"/>
                      <a:t> 591 тыс. руб  98%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360 тыс.руб.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 formatCode="General">
                  <c:v>151</c:v>
                </c:pt>
                <c:pt idx="1">
                  <c:v>25591</c:v>
                </c:pt>
                <c:pt idx="2" formatCode="General">
                  <c:v>360</c:v>
                </c:pt>
              </c:numCache>
            </c:numRef>
          </c:val>
        </c:ser>
        <c:marker val="1"/>
        <c:axId val="139490816"/>
        <c:axId val="139492352"/>
      </c:lineChart>
      <c:catAx>
        <c:axId val="139490816"/>
        <c:scaling>
          <c:orientation val="minMax"/>
        </c:scaling>
        <c:axPos val="b"/>
        <c:tickLblPos val="nextTo"/>
        <c:crossAx val="139492352"/>
        <c:crosses val="autoZero"/>
        <c:auto val="1"/>
        <c:lblAlgn val="ctr"/>
        <c:lblOffset val="100"/>
      </c:catAx>
      <c:valAx>
        <c:axId val="139492352"/>
        <c:scaling>
          <c:orientation val="minMax"/>
        </c:scaling>
        <c:axPos val="l"/>
        <c:majorGridlines/>
        <c:numFmt formatCode="General" sourceLinked="1"/>
        <c:tickLblPos val="nextTo"/>
        <c:crossAx val="1394908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2D94-E3FE-4D39-9E4E-0EFF69D8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20</Pages>
  <Words>8095</Words>
  <Characters>46146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Grizli777</Company>
  <LinksUpToDate>false</LinksUpToDate>
  <CharactersWithSpaces>54133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Олег</cp:lastModifiedBy>
  <cp:revision>23</cp:revision>
  <cp:lastPrinted>2013-04-02T06:39:00Z</cp:lastPrinted>
  <dcterms:created xsi:type="dcterms:W3CDTF">2013-04-02T06:39:00Z</dcterms:created>
  <dcterms:modified xsi:type="dcterms:W3CDTF">2013-04-11T01:07:00Z</dcterms:modified>
</cp:coreProperties>
</file>