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C3" w:rsidRPr="00064EA4" w:rsidRDefault="00E165C3" w:rsidP="00E1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18454"/>
            <wp:effectExtent l="19050" t="0" r="9525" b="0"/>
            <wp:docPr id="2" name="Рисунок 1" descr="\\192.168.33.101\Obmennik\Администрация - обменник 2014\1-Помощник мэра района\Белоусова Анастасия Юрьевна\герб\герб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33.101\Obmennik\Администрация - обменник 2014\1-Помощник мэра района\Белоусова Анастасия Юрьевна\герб\герб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32" cy="82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EA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65C3" w:rsidRPr="00064EA4" w:rsidRDefault="00E165C3" w:rsidP="00E1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 xml:space="preserve"> Иркутская область</w:t>
      </w:r>
    </w:p>
    <w:p w:rsidR="00E165C3" w:rsidRPr="00064EA4" w:rsidRDefault="00E165C3" w:rsidP="00E1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Нижнеилимский район</w:t>
      </w:r>
    </w:p>
    <w:p w:rsidR="00E165C3" w:rsidRPr="00064EA4" w:rsidRDefault="00E165C3" w:rsidP="00E1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E165C3" w:rsidRPr="00064EA4" w:rsidRDefault="00E165C3" w:rsidP="00E1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Нижнеилимского муниципального района</w:t>
      </w:r>
    </w:p>
    <w:p w:rsidR="00E165C3" w:rsidRPr="00064EA4" w:rsidRDefault="00E165C3" w:rsidP="00E1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165C3" w:rsidRPr="00064EA4" w:rsidRDefault="00E165C3" w:rsidP="00E165C3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64EA4">
        <w:rPr>
          <w:rFonts w:ascii="Times New Roman" w:hAnsi="Times New Roman" w:cs="Times New Roman"/>
          <w:b/>
          <w:sz w:val="24"/>
          <w:szCs w:val="24"/>
        </w:rPr>
        <w:t>===========================================</w:t>
      </w:r>
      <w:r>
        <w:rPr>
          <w:rFonts w:ascii="Times New Roman" w:hAnsi="Times New Roman" w:cs="Times New Roman"/>
          <w:b/>
          <w:sz w:val="24"/>
          <w:szCs w:val="24"/>
        </w:rPr>
        <w:t>================================</w:t>
      </w:r>
    </w:p>
    <w:p w:rsidR="00E165C3" w:rsidRPr="00064EA4" w:rsidRDefault="00E165C3" w:rsidP="00E16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C3" w:rsidRPr="00064EA4" w:rsidRDefault="00E165C3" w:rsidP="00E1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От </w:t>
      </w:r>
      <w:r w:rsidR="00FD5B81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064EA4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г. Железногорск-Илимский</w:t>
      </w:r>
    </w:p>
    <w:p w:rsidR="00E165C3" w:rsidRPr="00064EA4" w:rsidRDefault="00E165C3" w:rsidP="00E165C3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165C3" w:rsidRPr="00064EA4" w:rsidRDefault="00E165C3" w:rsidP="00E1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165C3" w:rsidRPr="00F36F4A" w:rsidRDefault="00E165C3" w:rsidP="00E165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Заключение № 01-10/1 </w:t>
      </w:r>
    </w:p>
    <w:p w:rsidR="00E165C3" w:rsidRPr="00F36F4A" w:rsidRDefault="00E165C3" w:rsidP="00E165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результатам внешней проверки</w:t>
      </w:r>
    </w:p>
    <w:p w:rsidR="00E165C3" w:rsidRPr="00F36F4A" w:rsidRDefault="00E165C3" w:rsidP="00E165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годового отчета об исполнении бюджета Соцгородского сельского поселения </w:t>
      </w:r>
      <w:r w:rsidR="00EA7E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Нижнеилимского района 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 w:rsidRPr="00F3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Соцгородского сельского поселения за 2014 год подготовлено на основании </w:t>
      </w:r>
      <w:r w:rsidRPr="00F36F4A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6F4A">
        <w:rPr>
          <w:rFonts w:ascii="Times New Roman" w:hAnsi="Times New Roman" w:cs="Times New Roman"/>
          <w:sz w:val="24"/>
          <w:szCs w:val="24"/>
        </w:rPr>
        <w:t xml:space="preserve"> о передаче полномочий </w:t>
      </w:r>
      <w:r>
        <w:rPr>
          <w:rFonts w:ascii="Times New Roman" w:hAnsi="Times New Roman" w:cs="Times New Roman"/>
          <w:sz w:val="24"/>
          <w:szCs w:val="24"/>
        </w:rPr>
        <w:t>Думой Соцгородского сельского поселения Контрольно-счетной палате Нижнеилимского муниципального района от 25 ноября 2013 года № 1, Поло</w:t>
      </w:r>
      <w:r w:rsidRPr="00F36F4A">
        <w:rPr>
          <w:rFonts w:ascii="Times New Roman" w:hAnsi="Times New Roman" w:cs="Times New Roman"/>
          <w:sz w:val="24"/>
          <w:szCs w:val="24"/>
        </w:rPr>
        <w:t xml:space="preserve">жением о бюджетном процессе в </w:t>
      </w:r>
      <w:r>
        <w:rPr>
          <w:rFonts w:ascii="Times New Roman" w:hAnsi="Times New Roman" w:cs="Times New Roman"/>
          <w:sz w:val="24"/>
          <w:szCs w:val="24"/>
        </w:rPr>
        <w:t>Соцгородском</w:t>
      </w:r>
      <w:r w:rsidRPr="00F36F4A">
        <w:rPr>
          <w:rFonts w:ascii="Times New Roman" w:hAnsi="Times New Roman" w:cs="Times New Roman"/>
          <w:sz w:val="24"/>
          <w:szCs w:val="24"/>
        </w:rPr>
        <w:t xml:space="preserve"> сельском поселении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6F4A">
        <w:rPr>
          <w:rFonts w:ascii="Times New Roman" w:hAnsi="Times New Roman" w:cs="Times New Roman"/>
          <w:sz w:val="24"/>
          <w:szCs w:val="24"/>
        </w:rPr>
        <w:t xml:space="preserve">оложение о бюджетном процессе),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6F4A">
        <w:rPr>
          <w:rFonts w:ascii="Times New Roman" w:hAnsi="Times New Roman" w:cs="Times New Roman"/>
          <w:sz w:val="24"/>
          <w:szCs w:val="24"/>
        </w:rPr>
        <w:t xml:space="preserve">оложением о Контрольно-счетной палате </w:t>
      </w:r>
      <w:r>
        <w:rPr>
          <w:rFonts w:ascii="Times New Roman" w:hAnsi="Times New Roman" w:cs="Times New Roman"/>
          <w:sz w:val="24"/>
          <w:szCs w:val="24"/>
        </w:rPr>
        <w:t>Нижнеилимского муниципаль</w:t>
      </w:r>
      <w:r w:rsidRPr="00F36F4A">
        <w:rPr>
          <w:rFonts w:ascii="Times New Roman" w:hAnsi="Times New Roman" w:cs="Times New Roman"/>
          <w:sz w:val="24"/>
          <w:szCs w:val="24"/>
        </w:rPr>
        <w:t>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</w:t>
      </w:r>
      <w:r w:rsidR="00E2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ст. 264.4 Бюджетного кодекса РФ (далее – БК РФ) отчет об исполнении местного бюджета для подготовки заключения на него предоставляется не позднее 1 апреля текущего года. Годовая бюджетная отчетность за 2014 год, проект решения Думы Соцгородского сельского поселения «Отчет об исполнении бюджета Соцгородского сельского поселения МО за 2014 год»  </w:t>
      </w:r>
      <w:r w:rsidR="002F4AA9">
        <w:rPr>
          <w:rFonts w:ascii="Times New Roman" w:hAnsi="Times New Roman" w:cs="Times New Roman"/>
          <w:sz w:val="24"/>
          <w:szCs w:val="24"/>
        </w:rPr>
        <w:t xml:space="preserve">(далее – Отчет об исполнении бюджета или проект решения)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в Контрольно-счетную палату Нижнеилимского муниципального района (далее – КСП района, Контрольно-счетная палата) 25 марта 2015 года, что соответствует норме закона. 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п.</w:t>
      </w:r>
      <w:r w:rsidR="002F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2F4AA9">
        <w:rPr>
          <w:rFonts w:ascii="Times New Roman" w:hAnsi="Times New Roman" w:cs="Times New Roman"/>
          <w:sz w:val="24"/>
          <w:szCs w:val="24"/>
        </w:rPr>
        <w:t xml:space="preserve">ст. 264.4 БК РФ </w:t>
      </w:r>
      <w:r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местного бюджета осуществляется контрольно-счетным органом муниципального образования в </w:t>
      </w:r>
      <w:r w:rsidRPr="00E227BB">
        <w:rPr>
          <w:rFonts w:ascii="Times New Roman" w:hAnsi="Times New Roman" w:cs="Times New Roman"/>
          <w:sz w:val="24"/>
          <w:szCs w:val="24"/>
        </w:rPr>
        <w:t>порядке, установленном муниципальным правовым актом представительного органа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 соблюдением требований </w:t>
      </w:r>
      <w:r w:rsidR="003D4790">
        <w:rPr>
          <w:rFonts w:ascii="Times New Roman" w:hAnsi="Times New Roman" w:cs="Times New Roman"/>
          <w:sz w:val="24"/>
          <w:szCs w:val="24"/>
        </w:rPr>
        <w:t>БК РФ</w:t>
      </w:r>
      <w:r>
        <w:rPr>
          <w:rFonts w:ascii="Times New Roman" w:hAnsi="Times New Roman" w:cs="Times New Roman"/>
          <w:sz w:val="24"/>
          <w:szCs w:val="24"/>
        </w:rPr>
        <w:t xml:space="preserve"> и с учетом особенностей, установленных федеральными законами. По запросу КСП района, указанный порядок  не представлен. 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составу и полноте форм бюджетная отчетность представлена, в целом, в объеме форм, предусмотренных ст. 264.1 БК РФ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 (далее – Инструкция № 191н).</w:t>
      </w:r>
    </w:p>
    <w:p w:rsidR="00E165C3" w:rsidRPr="006E1473" w:rsidRDefault="00E165C3" w:rsidP="000E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7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на 2014 год утвержден Решением Думы Соцгородского СП от 16.12.2013 № 46 по расходам в сумме 7 351,4 тыс. рублей, исходя из прогнозируемо объема доходов в сумме 7 296,4 тыс. рублей, дефицит бюджета поселения </w:t>
      </w:r>
      <w:r w:rsidR="002F4AA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6E1473">
        <w:rPr>
          <w:rFonts w:ascii="Times New Roman" w:hAnsi="Times New Roman" w:cs="Times New Roman"/>
          <w:sz w:val="24"/>
          <w:szCs w:val="24"/>
        </w:rPr>
        <w:t>в сумме 55,0 тыс. рублей.</w:t>
      </w:r>
    </w:p>
    <w:p w:rsidR="00E165C3" w:rsidRPr="006E1473" w:rsidRDefault="00E165C3" w:rsidP="000E5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473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1473">
        <w:rPr>
          <w:rFonts w:ascii="Times New Roman" w:hAnsi="Times New Roman" w:cs="Times New Roman"/>
          <w:sz w:val="24"/>
          <w:szCs w:val="24"/>
        </w:rPr>
        <w:t xml:space="preserve"> года в первоначальное решение о бюджете поселения вносились соответствующие изменения и дополнения 4 раза. С учетом вносимых корректировок окончательно был утвержден бюджет с общим объемом годовых назначений расходной части в сумме 9 347,2 тыс. рублей, доходной части в сумме 9 310,34 тыс. рублей, дефицит бюджета </w:t>
      </w:r>
      <w:r w:rsidR="002F4AA9">
        <w:rPr>
          <w:rFonts w:ascii="Times New Roman" w:hAnsi="Times New Roman" w:cs="Times New Roman"/>
          <w:sz w:val="24"/>
          <w:szCs w:val="24"/>
        </w:rPr>
        <w:t xml:space="preserve">- </w:t>
      </w:r>
      <w:r w:rsidRPr="006E1473">
        <w:rPr>
          <w:rFonts w:ascii="Times New Roman" w:hAnsi="Times New Roman" w:cs="Times New Roman"/>
          <w:sz w:val="24"/>
          <w:szCs w:val="24"/>
        </w:rPr>
        <w:t>36,86 тыс. рублей.</w:t>
      </w:r>
    </w:p>
    <w:p w:rsidR="00E165C3" w:rsidRPr="006E1473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1473">
        <w:rPr>
          <w:rFonts w:ascii="Times New Roman" w:hAnsi="Times New Roman" w:cs="Times New Roman"/>
          <w:sz w:val="24"/>
          <w:szCs w:val="24"/>
        </w:rPr>
        <w:t xml:space="preserve">Согласно п. 3 ст. 92.1 БК РФ дефицит бюджета поселения не должен превышать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1473">
        <w:rPr>
          <w:rFonts w:ascii="Times New Roman" w:hAnsi="Times New Roman" w:cs="Times New Roman"/>
          <w:sz w:val="24"/>
          <w:szCs w:val="24"/>
        </w:rPr>
        <w:t xml:space="preserve"> процентов утвержденного общего годового объема доходов бюджета без учета утвержденного объема </w:t>
      </w:r>
      <w:r w:rsidRPr="006E1473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безвозмездных поступлений.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1473">
        <w:rPr>
          <w:rFonts w:ascii="Times New Roman" w:hAnsi="Times New Roman" w:cs="Times New Roman"/>
          <w:sz w:val="24"/>
          <w:szCs w:val="24"/>
        </w:rPr>
        <w:t xml:space="preserve">ервоначальный бюджет был утвержден с дефицитом </w:t>
      </w:r>
      <w:r>
        <w:rPr>
          <w:rFonts w:ascii="Times New Roman" w:hAnsi="Times New Roman" w:cs="Times New Roman"/>
          <w:sz w:val="24"/>
          <w:szCs w:val="24"/>
        </w:rPr>
        <w:t>5%</w:t>
      </w:r>
      <w:r w:rsidRPr="006E14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55/1102,6*100%), </w:t>
      </w:r>
      <w:r w:rsidRPr="006E147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473">
        <w:rPr>
          <w:rFonts w:ascii="Times New Roman" w:hAnsi="Times New Roman" w:cs="Times New Roman"/>
          <w:sz w:val="24"/>
          <w:szCs w:val="24"/>
        </w:rPr>
        <w:t xml:space="preserve">конец года дефицит составил </w:t>
      </w:r>
      <w:r w:rsidR="00846707">
        <w:rPr>
          <w:rFonts w:ascii="Times New Roman" w:hAnsi="Times New Roman" w:cs="Times New Roman"/>
          <w:sz w:val="24"/>
          <w:szCs w:val="24"/>
        </w:rPr>
        <w:t>3,1</w:t>
      </w:r>
      <w:r w:rsidRPr="006E1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6E1473">
        <w:rPr>
          <w:rFonts w:ascii="Times New Roman" w:hAnsi="Times New Roman" w:cs="Times New Roman"/>
          <w:sz w:val="24"/>
          <w:szCs w:val="24"/>
        </w:rPr>
        <w:t xml:space="preserve"> (</w:t>
      </w:r>
      <w:r w:rsidR="00846707">
        <w:rPr>
          <w:rFonts w:ascii="Times New Roman" w:hAnsi="Times New Roman" w:cs="Times New Roman"/>
          <w:sz w:val="24"/>
          <w:szCs w:val="24"/>
        </w:rPr>
        <w:t>36,86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6707">
        <w:rPr>
          <w:rFonts w:ascii="Times New Roman" w:hAnsi="Times New Roman" w:cs="Times New Roman"/>
          <w:sz w:val="24"/>
          <w:szCs w:val="24"/>
        </w:rPr>
        <w:t>1172,3</w:t>
      </w:r>
      <w:r>
        <w:rPr>
          <w:rFonts w:ascii="Times New Roman" w:hAnsi="Times New Roman" w:cs="Times New Roman"/>
          <w:sz w:val="24"/>
          <w:szCs w:val="24"/>
        </w:rPr>
        <w:t>*100%)</w:t>
      </w:r>
      <w:r w:rsidRPr="006E1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6B0A">
        <w:rPr>
          <w:rFonts w:ascii="Times New Roman" w:hAnsi="Times New Roman" w:cs="Times New Roman"/>
          <w:b/>
          <w:i/>
          <w:sz w:val="24"/>
          <w:szCs w:val="24"/>
        </w:rPr>
        <w:t>Исполнение бюджета Соцгородского сельского поселения за 2014 год.</w:t>
      </w:r>
    </w:p>
    <w:p w:rsidR="00E165C3" w:rsidRPr="00006B0A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годовому отчету об исполнении бюджета поселения за 2014 год исполнение по основным характеристикам составило (Таблица №1):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</w:t>
      </w:r>
    </w:p>
    <w:tbl>
      <w:tblPr>
        <w:tblStyle w:val="a3"/>
        <w:tblW w:w="0" w:type="auto"/>
        <w:tblInd w:w="108" w:type="dxa"/>
        <w:tblLook w:val="04A0"/>
      </w:tblPr>
      <w:tblGrid>
        <w:gridCol w:w="1439"/>
        <w:gridCol w:w="1492"/>
        <w:gridCol w:w="1933"/>
        <w:gridCol w:w="1558"/>
        <w:gridCol w:w="1490"/>
        <w:gridCol w:w="1279"/>
        <w:gridCol w:w="1157"/>
      </w:tblGrid>
      <w:tr w:rsidR="00E165C3" w:rsidTr="00E165C3">
        <w:tc>
          <w:tcPr>
            <w:tcW w:w="1439" w:type="dxa"/>
            <w:vMerge w:val="restart"/>
            <w:shd w:val="clear" w:color="auto" w:fill="D9D9D9" w:themeFill="background1" w:themeFillShade="D9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492" w:type="dxa"/>
            <w:vMerge w:val="restart"/>
            <w:shd w:val="clear" w:color="auto" w:fill="D9D9D9" w:themeFill="background1" w:themeFillShade="D9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в 2013 году, в тыс. руб.</w:t>
            </w:r>
          </w:p>
        </w:tc>
        <w:tc>
          <w:tcPr>
            <w:tcW w:w="1933" w:type="dxa"/>
            <w:vMerge w:val="restart"/>
            <w:shd w:val="clear" w:color="auto" w:fill="D9D9D9" w:themeFill="background1" w:themeFillShade="D9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назначения на 2014 год</w:t>
            </w:r>
          </w:p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(Решение Думы от 31.12.2014 № 79),  в тыс. руб.</w:t>
            </w: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4" w:type="dxa"/>
            <w:gridSpan w:val="4"/>
            <w:shd w:val="clear" w:color="auto" w:fill="D9D9D9" w:themeFill="background1" w:themeFillShade="D9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бюджета за 2014 год</w:t>
            </w:r>
          </w:p>
        </w:tc>
      </w:tr>
      <w:tr w:rsidR="00E165C3" w:rsidTr="00E165C3">
        <w:tc>
          <w:tcPr>
            <w:tcW w:w="1439" w:type="dxa"/>
            <w:vMerge/>
            <w:shd w:val="clear" w:color="auto" w:fill="D9D9D9" w:themeFill="background1" w:themeFillShade="D9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Merge/>
            <w:shd w:val="clear" w:color="auto" w:fill="D9D9D9" w:themeFill="background1" w:themeFillShade="D9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  <w:vMerge/>
            <w:shd w:val="clear" w:color="auto" w:fill="D9D9D9" w:themeFill="background1" w:themeFillShade="D9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в тыс. руб.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E165C3" w:rsidRPr="00067F35" w:rsidRDefault="002F4AA9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165C3" w:rsidRPr="00067F35">
              <w:rPr>
                <w:rFonts w:ascii="Times New Roman" w:hAnsi="Times New Roman" w:cs="Times New Roman"/>
                <w:sz w:val="18"/>
                <w:szCs w:val="18"/>
              </w:rPr>
              <w:t>тклонения от</w:t>
            </w: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35">
              <w:rPr>
                <w:rFonts w:ascii="Times New Roman" w:hAnsi="Times New Roman" w:cs="Times New Roman"/>
                <w:sz w:val="18"/>
                <w:szCs w:val="18"/>
              </w:rPr>
              <w:t>утверж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67F35">
              <w:rPr>
                <w:rFonts w:ascii="Times New Roman" w:hAnsi="Times New Roman" w:cs="Times New Roman"/>
                <w:sz w:val="18"/>
                <w:szCs w:val="18"/>
              </w:rPr>
              <w:t>бюджета (гр.4-гр.3)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тыс. руб.</w:t>
            </w: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E165C3" w:rsidRPr="00067F35" w:rsidRDefault="002F4AA9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165C3" w:rsidRPr="00067F35">
              <w:rPr>
                <w:rFonts w:ascii="Times New Roman" w:hAnsi="Times New Roman" w:cs="Times New Roman"/>
                <w:sz w:val="18"/>
                <w:szCs w:val="18"/>
              </w:rPr>
              <w:t>сполнени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35">
              <w:rPr>
                <w:rFonts w:ascii="Times New Roman" w:hAnsi="Times New Roman" w:cs="Times New Roman"/>
                <w:sz w:val="18"/>
                <w:szCs w:val="18"/>
              </w:rPr>
              <w:t>(гр.4/гр.3)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%</w:t>
            </w: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D9D9D9" w:themeFill="background1" w:themeFillShade="D9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35">
              <w:rPr>
                <w:rFonts w:ascii="Times New Roman" w:hAnsi="Times New Roman" w:cs="Times New Roman"/>
                <w:sz w:val="18"/>
                <w:szCs w:val="18"/>
              </w:rPr>
              <w:t>В %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7F3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67F35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65C3" w:rsidTr="00E165C3">
        <w:tc>
          <w:tcPr>
            <w:tcW w:w="1439" w:type="dxa"/>
            <w:shd w:val="clear" w:color="auto" w:fill="D9D9D9" w:themeFill="background1" w:themeFillShade="D9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:rsidR="00E165C3" w:rsidRPr="00063889" w:rsidRDefault="00E165C3" w:rsidP="0061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165C3" w:rsidTr="00E165C3">
        <w:tc>
          <w:tcPr>
            <w:tcW w:w="1439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доходов, в том числе:</w:t>
            </w:r>
          </w:p>
        </w:tc>
        <w:tc>
          <w:tcPr>
            <w:tcW w:w="1492" w:type="dxa"/>
          </w:tcPr>
          <w:p w:rsidR="00E165C3" w:rsidRPr="00845F0B" w:rsidRDefault="00E165C3" w:rsidP="0061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0B">
              <w:rPr>
                <w:rFonts w:ascii="Times New Roman" w:hAnsi="Times New Roman" w:cs="Times New Roman"/>
                <w:sz w:val="18"/>
                <w:szCs w:val="18"/>
              </w:rPr>
              <w:t>9 030</w:t>
            </w:r>
          </w:p>
          <w:p w:rsidR="00E165C3" w:rsidRPr="00845F0B" w:rsidRDefault="00E165C3" w:rsidP="0061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3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9 310,34</w:t>
            </w:r>
          </w:p>
        </w:tc>
        <w:tc>
          <w:tcPr>
            <w:tcW w:w="1558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9 184,3</w:t>
            </w:r>
          </w:p>
        </w:tc>
        <w:tc>
          <w:tcPr>
            <w:tcW w:w="1490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- 126,04</w:t>
            </w:r>
          </w:p>
        </w:tc>
        <w:tc>
          <w:tcPr>
            <w:tcW w:w="1279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57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</w:tr>
      <w:tr w:rsidR="00E165C3" w:rsidTr="00E165C3">
        <w:tc>
          <w:tcPr>
            <w:tcW w:w="1439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МБТ</w:t>
            </w:r>
          </w:p>
        </w:tc>
        <w:tc>
          <w:tcPr>
            <w:tcW w:w="1492" w:type="dxa"/>
          </w:tcPr>
          <w:p w:rsidR="00E165C3" w:rsidRPr="00845F0B" w:rsidRDefault="00E165C3" w:rsidP="0061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0B">
              <w:rPr>
                <w:rFonts w:ascii="Times New Roman" w:hAnsi="Times New Roman" w:cs="Times New Roman"/>
                <w:sz w:val="18"/>
                <w:szCs w:val="18"/>
              </w:rPr>
              <w:t>8 285</w:t>
            </w:r>
          </w:p>
        </w:tc>
        <w:tc>
          <w:tcPr>
            <w:tcW w:w="1933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8 138,04</w:t>
            </w:r>
          </w:p>
        </w:tc>
        <w:tc>
          <w:tcPr>
            <w:tcW w:w="1558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8 117</w:t>
            </w:r>
          </w:p>
        </w:tc>
        <w:tc>
          <w:tcPr>
            <w:tcW w:w="1490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-21,04</w:t>
            </w:r>
          </w:p>
        </w:tc>
        <w:tc>
          <w:tcPr>
            <w:tcW w:w="1279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57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</w:tr>
      <w:tr w:rsidR="00E165C3" w:rsidTr="00E165C3">
        <w:trPr>
          <w:trHeight w:val="457"/>
        </w:trPr>
        <w:tc>
          <w:tcPr>
            <w:tcW w:w="1439" w:type="dxa"/>
          </w:tcPr>
          <w:p w:rsidR="00E165C3" w:rsidRPr="00DD7651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объем расходов</w:t>
            </w: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E165C3" w:rsidRPr="00845F0B" w:rsidRDefault="00E165C3" w:rsidP="0061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0B">
              <w:rPr>
                <w:rFonts w:ascii="Times New Roman" w:hAnsi="Times New Roman" w:cs="Times New Roman"/>
                <w:sz w:val="18"/>
                <w:szCs w:val="18"/>
              </w:rPr>
              <w:t>9 475</w:t>
            </w:r>
          </w:p>
        </w:tc>
        <w:tc>
          <w:tcPr>
            <w:tcW w:w="1933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9 347,2</w:t>
            </w:r>
          </w:p>
        </w:tc>
        <w:tc>
          <w:tcPr>
            <w:tcW w:w="1558" w:type="dxa"/>
          </w:tcPr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9 084,4</w:t>
            </w:r>
          </w:p>
        </w:tc>
        <w:tc>
          <w:tcPr>
            <w:tcW w:w="1490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-262,8</w:t>
            </w:r>
          </w:p>
        </w:tc>
        <w:tc>
          <w:tcPr>
            <w:tcW w:w="1279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57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E165C3" w:rsidTr="00E165C3">
        <w:trPr>
          <w:trHeight w:val="537"/>
        </w:trPr>
        <w:tc>
          <w:tcPr>
            <w:tcW w:w="1439" w:type="dxa"/>
          </w:tcPr>
          <w:p w:rsidR="00E165C3" w:rsidRPr="00DD7651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Дефицит (-)</w:t>
            </w:r>
          </w:p>
          <w:p w:rsidR="00E165C3" w:rsidRPr="00DD7651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651">
              <w:rPr>
                <w:rFonts w:ascii="Times New Roman" w:hAnsi="Times New Roman" w:cs="Times New Roman"/>
                <w:sz w:val="18"/>
                <w:szCs w:val="18"/>
              </w:rPr>
              <w:t>профицит (+)</w:t>
            </w:r>
          </w:p>
          <w:p w:rsidR="00E165C3" w:rsidRPr="00DD7651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E165C3" w:rsidRPr="00845F0B" w:rsidRDefault="00E165C3" w:rsidP="006139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F0B">
              <w:rPr>
                <w:rFonts w:ascii="Times New Roman" w:hAnsi="Times New Roman" w:cs="Times New Roman"/>
                <w:sz w:val="18"/>
                <w:szCs w:val="18"/>
              </w:rPr>
              <w:t>-445</w:t>
            </w:r>
          </w:p>
        </w:tc>
        <w:tc>
          <w:tcPr>
            <w:tcW w:w="1933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-36,86</w:t>
            </w:r>
          </w:p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65C3" w:rsidRPr="00067F35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E165C3" w:rsidRPr="00067F35" w:rsidRDefault="00846707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+9</w:t>
            </w:r>
            <w:r w:rsidR="00E165C3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490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63,04</w:t>
            </w:r>
          </w:p>
        </w:tc>
        <w:tc>
          <w:tcPr>
            <w:tcW w:w="1279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157" w:type="dxa"/>
          </w:tcPr>
          <w:p w:rsidR="00E165C3" w:rsidRPr="00063889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388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</w:tr>
    </w:tbl>
    <w:p w:rsidR="00E165C3" w:rsidRDefault="00E165C3" w:rsidP="00E165C3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Бюджет Соцгородского СП исполнен в 2014 году с профицитом – с превышением доходов над расходами в сумме 99,9 тыс. рублей. Доходы исполнены на 99%, расходы на 97% от утвержденных показателей бюджета поселения.</w:t>
      </w:r>
    </w:p>
    <w:p w:rsidR="00846707" w:rsidRDefault="00E165C3" w:rsidP="00EB7466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6707">
        <w:rPr>
          <w:rFonts w:ascii="Times New Roman" w:hAnsi="Times New Roman" w:cs="Times New Roman"/>
          <w:sz w:val="24"/>
          <w:szCs w:val="24"/>
        </w:rPr>
        <w:t>Исполнение бюджетных назначений по д</w:t>
      </w:r>
      <w:r w:rsidR="00846707" w:rsidRPr="00006B0A">
        <w:rPr>
          <w:rFonts w:ascii="Times New Roman" w:hAnsi="Times New Roman" w:cs="Times New Roman"/>
          <w:sz w:val="24"/>
          <w:szCs w:val="24"/>
        </w:rPr>
        <w:t>оход</w:t>
      </w:r>
      <w:r w:rsidR="00846707">
        <w:rPr>
          <w:rFonts w:ascii="Times New Roman" w:hAnsi="Times New Roman" w:cs="Times New Roman"/>
          <w:sz w:val="24"/>
          <w:szCs w:val="24"/>
        </w:rPr>
        <w:t xml:space="preserve">ам </w:t>
      </w:r>
      <w:r w:rsidR="00846707" w:rsidRPr="00006B0A">
        <w:rPr>
          <w:rFonts w:ascii="Times New Roman" w:hAnsi="Times New Roman" w:cs="Times New Roman"/>
          <w:sz w:val="24"/>
          <w:szCs w:val="24"/>
        </w:rPr>
        <w:t>бюджета поселения в 201</w:t>
      </w:r>
      <w:r w:rsidR="00846707">
        <w:rPr>
          <w:rFonts w:ascii="Times New Roman" w:hAnsi="Times New Roman" w:cs="Times New Roman"/>
          <w:sz w:val="24"/>
          <w:szCs w:val="24"/>
        </w:rPr>
        <w:t>4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46707">
        <w:rPr>
          <w:rFonts w:ascii="Times New Roman" w:hAnsi="Times New Roman" w:cs="Times New Roman"/>
          <w:sz w:val="24"/>
          <w:szCs w:val="24"/>
        </w:rPr>
        <w:t xml:space="preserve">составили 9 184,3 </w:t>
      </w:r>
      <w:r w:rsidR="00846707" w:rsidRPr="00006B0A">
        <w:rPr>
          <w:rFonts w:ascii="Times New Roman" w:hAnsi="Times New Roman" w:cs="Times New Roman"/>
          <w:sz w:val="24"/>
          <w:szCs w:val="24"/>
        </w:rPr>
        <w:t>тыс. рублей</w:t>
      </w:r>
      <w:r w:rsidR="00846707">
        <w:rPr>
          <w:rFonts w:ascii="Times New Roman" w:hAnsi="Times New Roman" w:cs="Times New Roman"/>
          <w:sz w:val="24"/>
          <w:szCs w:val="24"/>
        </w:rPr>
        <w:t xml:space="preserve"> или 99% от утвержденных бюджетных назначений</w:t>
      </w:r>
      <w:r w:rsidR="00846707" w:rsidRPr="00006B0A">
        <w:rPr>
          <w:rFonts w:ascii="Times New Roman" w:hAnsi="Times New Roman" w:cs="Times New Roman"/>
          <w:sz w:val="24"/>
          <w:szCs w:val="24"/>
        </w:rPr>
        <w:t>. К</w:t>
      </w:r>
      <w:r w:rsidR="00846707">
        <w:rPr>
          <w:rFonts w:ascii="Times New Roman" w:hAnsi="Times New Roman" w:cs="Times New Roman"/>
          <w:sz w:val="24"/>
          <w:szCs w:val="24"/>
        </w:rPr>
        <w:t xml:space="preserve"> </w:t>
      </w:r>
      <w:r w:rsidR="00846707" w:rsidRPr="00006B0A">
        <w:rPr>
          <w:rFonts w:ascii="Times New Roman" w:hAnsi="Times New Roman" w:cs="Times New Roman"/>
          <w:sz w:val="24"/>
          <w:szCs w:val="24"/>
        </w:rPr>
        <w:t>уровню 201</w:t>
      </w:r>
      <w:r w:rsidR="00846707">
        <w:rPr>
          <w:rFonts w:ascii="Times New Roman" w:hAnsi="Times New Roman" w:cs="Times New Roman"/>
          <w:sz w:val="24"/>
          <w:szCs w:val="24"/>
        </w:rPr>
        <w:t>3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 года поступление доходов в бюджет поселения составило </w:t>
      </w:r>
      <w:r w:rsidR="00846707">
        <w:rPr>
          <w:rFonts w:ascii="Times New Roman" w:hAnsi="Times New Roman" w:cs="Times New Roman"/>
          <w:sz w:val="24"/>
          <w:szCs w:val="24"/>
        </w:rPr>
        <w:t xml:space="preserve">101,7%. 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Расходы бюджета поселения исполнены в сумме </w:t>
      </w:r>
      <w:r w:rsidR="00846707">
        <w:rPr>
          <w:rFonts w:ascii="Times New Roman" w:hAnsi="Times New Roman" w:cs="Times New Roman"/>
          <w:sz w:val="24"/>
          <w:szCs w:val="24"/>
        </w:rPr>
        <w:t>9 084,4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846707">
        <w:rPr>
          <w:rFonts w:ascii="Times New Roman" w:hAnsi="Times New Roman" w:cs="Times New Roman"/>
          <w:sz w:val="24"/>
          <w:szCs w:val="24"/>
        </w:rPr>
        <w:t xml:space="preserve"> 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46707">
        <w:rPr>
          <w:rFonts w:ascii="Times New Roman" w:hAnsi="Times New Roman" w:cs="Times New Roman"/>
          <w:sz w:val="24"/>
          <w:szCs w:val="24"/>
        </w:rPr>
        <w:t>97%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 к уточненным бюджетным назначениям</w:t>
      </w:r>
      <w:r w:rsidR="00846707">
        <w:rPr>
          <w:rFonts w:ascii="Times New Roman" w:hAnsi="Times New Roman" w:cs="Times New Roman"/>
          <w:sz w:val="24"/>
          <w:szCs w:val="24"/>
        </w:rPr>
        <w:t>, к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 уровню 201</w:t>
      </w:r>
      <w:r w:rsidR="00846707">
        <w:rPr>
          <w:rFonts w:ascii="Times New Roman" w:hAnsi="Times New Roman" w:cs="Times New Roman"/>
          <w:sz w:val="24"/>
          <w:szCs w:val="24"/>
        </w:rPr>
        <w:t>3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4670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846707" w:rsidRPr="00006B0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846707">
        <w:rPr>
          <w:rFonts w:ascii="Times New Roman" w:hAnsi="Times New Roman" w:cs="Times New Roman"/>
          <w:sz w:val="24"/>
          <w:szCs w:val="24"/>
        </w:rPr>
        <w:t>96%.</w:t>
      </w:r>
    </w:p>
    <w:p w:rsidR="00846707" w:rsidRDefault="00846707" w:rsidP="0084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6B0A">
        <w:rPr>
          <w:rFonts w:ascii="Times New Roman" w:hAnsi="Times New Roman" w:cs="Times New Roman"/>
          <w:sz w:val="24"/>
          <w:szCs w:val="24"/>
        </w:rPr>
        <w:t>Динамику исполнения бюджета поселения можно проследить по годам</w:t>
      </w:r>
      <w:r>
        <w:rPr>
          <w:rFonts w:ascii="Times New Roman" w:hAnsi="Times New Roman" w:cs="Times New Roman"/>
          <w:sz w:val="24"/>
          <w:szCs w:val="24"/>
        </w:rPr>
        <w:t xml:space="preserve"> (Рисунок № 1).</w:t>
      </w:r>
    </w:p>
    <w:p w:rsidR="00E165C3" w:rsidRPr="00EF1632" w:rsidRDefault="00846707" w:rsidP="00E165C3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1632">
        <w:rPr>
          <w:rFonts w:ascii="Times New Roman" w:hAnsi="Times New Roman" w:cs="Times New Roman"/>
          <w:sz w:val="24"/>
          <w:szCs w:val="24"/>
        </w:rPr>
        <w:t xml:space="preserve"> </w:t>
      </w:r>
      <w:r w:rsidR="00E165C3" w:rsidRPr="00EF1632">
        <w:rPr>
          <w:rFonts w:ascii="Times New Roman" w:hAnsi="Times New Roman" w:cs="Times New Roman"/>
          <w:sz w:val="24"/>
          <w:szCs w:val="24"/>
        </w:rPr>
        <w:t>(тыс. рублей).</w:t>
      </w:r>
    </w:p>
    <w:p w:rsidR="00E165C3" w:rsidRPr="00006B0A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4625" cy="31146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lastRenderedPageBreak/>
        <w:tab/>
      </w:r>
      <w:r w:rsidRPr="00095D49">
        <w:rPr>
          <w:rFonts w:ascii="Times New Roman" w:hAnsi="Times New Roman" w:cs="Times New Roman"/>
          <w:bCs/>
          <w:sz w:val="24"/>
          <w:szCs w:val="24"/>
        </w:rPr>
        <w:t xml:space="preserve"> В 2014 году, как и в прошлые годы, основными источниками доходов бюджета поселения являются безвозмездные поступления от других бюджетов бюджетной системы РФ (Таблица № 1).</w:t>
      </w:r>
    </w:p>
    <w:p w:rsidR="00846707" w:rsidRDefault="00846707" w:rsidP="0084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№1.</w:t>
      </w:r>
    </w:p>
    <w:p w:rsidR="00846707" w:rsidRPr="00095D49" w:rsidRDefault="00846707" w:rsidP="008467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Тыс. рублей.</w:t>
      </w:r>
    </w:p>
    <w:tbl>
      <w:tblPr>
        <w:tblStyle w:val="a3"/>
        <w:tblW w:w="0" w:type="auto"/>
        <w:tblInd w:w="108" w:type="dxa"/>
        <w:tblLook w:val="04A0"/>
      </w:tblPr>
      <w:tblGrid>
        <w:gridCol w:w="1835"/>
        <w:gridCol w:w="1208"/>
        <w:gridCol w:w="1535"/>
        <w:gridCol w:w="1453"/>
        <w:gridCol w:w="1468"/>
        <w:gridCol w:w="1526"/>
        <w:gridCol w:w="1323"/>
      </w:tblGrid>
      <w:tr w:rsidR="00E165C3" w:rsidTr="00E165C3">
        <w:trPr>
          <w:trHeight w:val="420"/>
        </w:trPr>
        <w:tc>
          <w:tcPr>
            <w:tcW w:w="1835" w:type="dxa"/>
            <w:vMerge w:val="restart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08" w:type="dxa"/>
            <w:vMerge w:val="restart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в 2013 году</w:t>
            </w:r>
          </w:p>
        </w:tc>
        <w:tc>
          <w:tcPr>
            <w:tcW w:w="1535" w:type="dxa"/>
            <w:vMerge w:val="restart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назначения</w:t>
            </w:r>
          </w:p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E227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06E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47" w:type="dxa"/>
            <w:gridSpan w:val="3"/>
            <w:tcBorders>
              <w:bottom w:val="single" w:sz="4" w:space="0" w:color="auto"/>
            </w:tcBorders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323" w:type="dxa"/>
            <w:vMerge w:val="restart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 к уровню 2013 года</w:t>
            </w:r>
          </w:p>
        </w:tc>
      </w:tr>
      <w:tr w:rsidR="00E165C3" w:rsidTr="00E165C3">
        <w:trPr>
          <w:trHeight w:val="605"/>
        </w:trPr>
        <w:tc>
          <w:tcPr>
            <w:tcW w:w="1835" w:type="dxa"/>
            <w:vMerge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Уд.вес в общем объеме доходов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323" w:type="dxa"/>
            <w:vMerge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65C3" w:rsidTr="00E165C3">
        <w:tc>
          <w:tcPr>
            <w:tcW w:w="18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0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624</w:t>
            </w:r>
          </w:p>
        </w:tc>
        <w:tc>
          <w:tcPr>
            <w:tcW w:w="15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1153,3</w:t>
            </w:r>
          </w:p>
        </w:tc>
        <w:tc>
          <w:tcPr>
            <w:tcW w:w="145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1 048</w:t>
            </w:r>
          </w:p>
        </w:tc>
        <w:tc>
          <w:tcPr>
            <w:tcW w:w="146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11,4</w:t>
            </w:r>
          </w:p>
        </w:tc>
        <w:tc>
          <w:tcPr>
            <w:tcW w:w="1526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90,9</w:t>
            </w:r>
          </w:p>
        </w:tc>
        <w:tc>
          <w:tcPr>
            <w:tcW w:w="132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</w:t>
            </w:r>
          </w:p>
        </w:tc>
      </w:tr>
      <w:tr w:rsidR="00E165C3" w:rsidTr="00E165C3">
        <w:tc>
          <w:tcPr>
            <w:tcW w:w="18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0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5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5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46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526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</w:tr>
      <w:tr w:rsidR="00E165C3" w:rsidTr="00E165C3">
        <w:tc>
          <w:tcPr>
            <w:tcW w:w="1835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(налоговые и неналоговые доходы)</w:t>
            </w:r>
          </w:p>
        </w:tc>
        <w:tc>
          <w:tcPr>
            <w:tcW w:w="1208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745</w:t>
            </w:r>
          </w:p>
        </w:tc>
        <w:tc>
          <w:tcPr>
            <w:tcW w:w="1535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1 172,3</w:t>
            </w:r>
          </w:p>
        </w:tc>
        <w:tc>
          <w:tcPr>
            <w:tcW w:w="1453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1 067</w:t>
            </w:r>
          </w:p>
        </w:tc>
        <w:tc>
          <w:tcPr>
            <w:tcW w:w="1468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1526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323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</w:t>
            </w:r>
          </w:p>
        </w:tc>
      </w:tr>
      <w:tr w:rsidR="00E165C3" w:rsidTr="00E165C3">
        <w:tc>
          <w:tcPr>
            <w:tcW w:w="18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Дотация</w:t>
            </w:r>
          </w:p>
        </w:tc>
        <w:tc>
          <w:tcPr>
            <w:tcW w:w="120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1993,54</w:t>
            </w:r>
          </w:p>
        </w:tc>
        <w:tc>
          <w:tcPr>
            <w:tcW w:w="145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1993</w:t>
            </w:r>
          </w:p>
        </w:tc>
        <w:tc>
          <w:tcPr>
            <w:tcW w:w="146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21,7</w:t>
            </w:r>
          </w:p>
        </w:tc>
        <w:tc>
          <w:tcPr>
            <w:tcW w:w="1526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2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</w:tr>
      <w:tr w:rsidR="00E165C3" w:rsidTr="00E165C3">
        <w:tc>
          <w:tcPr>
            <w:tcW w:w="18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6E4C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Субсидия</w:t>
            </w:r>
          </w:p>
        </w:tc>
        <w:tc>
          <w:tcPr>
            <w:tcW w:w="120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5942</w:t>
            </w:r>
          </w:p>
        </w:tc>
        <w:tc>
          <w:tcPr>
            <w:tcW w:w="15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6064,2</w:t>
            </w:r>
          </w:p>
        </w:tc>
        <w:tc>
          <w:tcPr>
            <w:tcW w:w="145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6 043</w:t>
            </w:r>
          </w:p>
        </w:tc>
        <w:tc>
          <w:tcPr>
            <w:tcW w:w="146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65,8</w:t>
            </w:r>
          </w:p>
        </w:tc>
        <w:tc>
          <w:tcPr>
            <w:tcW w:w="1526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  <w:tc>
          <w:tcPr>
            <w:tcW w:w="132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101,7</w:t>
            </w:r>
          </w:p>
        </w:tc>
      </w:tr>
      <w:tr w:rsidR="00E165C3" w:rsidTr="00E165C3">
        <w:tc>
          <w:tcPr>
            <w:tcW w:w="1835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208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8711</w:t>
            </w:r>
          </w:p>
        </w:tc>
        <w:tc>
          <w:tcPr>
            <w:tcW w:w="1535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9230,04</w:t>
            </w:r>
          </w:p>
        </w:tc>
        <w:tc>
          <w:tcPr>
            <w:tcW w:w="1453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9 103</w:t>
            </w:r>
          </w:p>
        </w:tc>
        <w:tc>
          <w:tcPr>
            <w:tcW w:w="1468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99,1</w:t>
            </w:r>
          </w:p>
        </w:tc>
        <w:tc>
          <w:tcPr>
            <w:tcW w:w="1526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1323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104,5</w:t>
            </w:r>
          </w:p>
        </w:tc>
      </w:tr>
      <w:tr w:rsidR="00E165C3" w:rsidTr="00E165C3">
        <w:tc>
          <w:tcPr>
            <w:tcW w:w="18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</w:t>
            </w:r>
          </w:p>
        </w:tc>
        <w:tc>
          <w:tcPr>
            <w:tcW w:w="120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535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80,3</w:t>
            </w:r>
          </w:p>
        </w:tc>
        <w:tc>
          <w:tcPr>
            <w:tcW w:w="145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1468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0,9</w:t>
            </w:r>
          </w:p>
        </w:tc>
        <w:tc>
          <w:tcPr>
            <w:tcW w:w="1526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1323" w:type="dxa"/>
          </w:tcPr>
          <w:p w:rsidR="00E165C3" w:rsidRPr="00A06E4C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126,5</w:t>
            </w:r>
          </w:p>
        </w:tc>
      </w:tr>
      <w:tr w:rsidR="00E165C3" w:rsidTr="00E165C3">
        <w:tc>
          <w:tcPr>
            <w:tcW w:w="1835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Прочие МБТ</w:t>
            </w:r>
          </w:p>
        </w:tc>
        <w:tc>
          <w:tcPr>
            <w:tcW w:w="1208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283</w:t>
            </w:r>
          </w:p>
        </w:tc>
        <w:tc>
          <w:tcPr>
            <w:tcW w:w="1535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3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68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6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23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165C3" w:rsidTr="00E165C3">
        <w:tc>
          <w:tcPr>
            <w:tcW w:w="1835" w:type="dxa"/>
          </w:tcPr>
          <w:p w:rsidR="00E165C3" w:rsidRPr="00095D49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Возврат субсидий, субвенции, МБТ</w:t>
            </w:r>
          </w:p>
        </w:tc>
        <w:tc>
          <w:tcPr>
            <w:tcW w:w="1208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-28</w:t>
            </w:r>
          </w:p>
        </w:tc>
        <w:tc>
          <w:tcPr>
            <w:tcW w:w="1535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3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68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526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323" w:type="dxa"/>
          </w:tcPr>
          <w:p w:rsidR="00E165C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165C3" w:rsidTr="00E165C3">
        <w:tc>
          <w:tcPr>
            <w:tcW w:w="1835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25533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208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533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5533">
              <w:rPr>
                <w:rFonts w:ascii="Times New Roman" w:hAnsi="Times New Roman" w:cs="Times New Roman"/>
                <w:b/>
                <w:bCs/>
              </w:rPr>
              <w:t>030</w:t>
            </w:r>
          </w:p>
        </w:tc>
        <w:tc>
          <w:tcPr>
            <w:tcW w:w="1535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9 310,34</w:t>
            </w:r>
          </w:p>
        </w:tc>
        <w:tc>
          <w:tcPr>
            <w:tcW w:w="1453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9 184</w:t>
            </w:r>
          </w:p>
        </w:tc>
        <w:tc>
          <w:tcPr>
            <w:tcW w:w="1468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526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98,6</w:t>
            </w:r>
          </w:p>
        </w:tc>
        <w:tc>
          <w:tcPr>
            <w:tcW w:w="1323" w:type="dxa"/>
          </w:tcPr>
          <w:p w:rsidR="00E165C3" w:rsidRPr="00525533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101,7</w:t>
            </w:r>
          </w:p>
        </w:tc>
      </w:tr>
    </w:tbl>
    <w:p w:rsidR="00846707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 xml:space="preserve">         </w:t>
      </w:r>
    </w:p>
    <w:p w:rsidR="00E165C3" w:rsidRDefault="00846707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9"/>
          <w:szCs w:val="29"/>
        </w:rPr>
        <w:t xml:space="preserve">         </w:t>
      </w:r>
      <w:r w:rsidR="00E165C3" w:rsidRPr="00D46FEC">
        <w:rPr>
          <w:rFonts w:ascii="Times New Roman" w:hAnsi="Times New Roman" w:cs="Times New Roman"/>
          <w:bCs/>
          <w:sz w:val="24"/>
          <w:szCs w:val="24"/>
        </w:rPr>
        <w:t xml:space="preserve">Налоговые доходы  </w:t>
      </w:r>
      <w:r w:rsidR="00E165C3" w:rsidRPr="00D46FEC">
        <w:rPr>
          <w:rFonts w:ascii="Times New Roman" w:hAnsi="Times New Roman" w:cs="Times New Roman"/>
          <w:sz w:val="24"/>
          <w:szCs w:val="24"/>
        </w:rPr>
        <w:t>увеличились по сравнению с 2013 годом на 68%, в том числе увеличилось поступление налога на доходы физических</w:t>
      </w:r>
      <w:r w:rsidR="00E165C3">
        <w:rPr>
          <w:rFonts w:ascii="Times New Roman" w:hAnsi="Times New Roman" w:cs="Times New Roman"/>
          <w:sz w:val="24"/>
          <w:szCs w:val="24"/>
        </w:rPr>
        <w:t xml:space="preserve"> </w:t>
      </w:r>
      <w:r w:rsidR="00E165C3" w:rsidRPr="00D46FEC">
        <w:rPr>
          <w:rFonts w:ascii="Times New Roman" w:hAnsi="Times New Roman" w:cs="Times New Roman"/>
          <w:sz w:val="24"/>
          <w:szCs w:val="24"/>
        </w:rPr>
        <w:t xml:space="preserve">лиц на </w:t>
      </w:r>
      <w:r w:rsidR="00E165C3">
        <w:rPr>
          <w:rFonts w:ascii="Times New Roman" w:hAnsi="Times New Roman" w:cs="Times New Roman"/>
          <w:sz w:val="24"/>
          <w:szCs w:val="24"/>
        </w:rPr>
        <w:t>4,7</w:t>
      </w:r>
      <w:r w:rsidR="00E165C3" w:rsidRPr="00D46FEC">
        <w:rPr>
          <w:rFonts w:ascii="Times New Roman" w:hAnsi="Times New Roman" w:cs="Times New Roman"/>
          <w:sz w:val="24"/>
          <w:szCs w:val="24"/>
        </w:rPr>
        <w:t xml:space="preserve"> </w:t>
      </w:r>
      <w:r w:rsidR="00E165C3">
        <w:rPr>
          <w:rFonts w:ascii="Times New Roman" w:hAnsi="Times New Roman" w:cs="Times New Roman"/>
          <w:sz w:val="24"/>
          <w:szCs w:val="24"/>
        </w:rPr>
        <w:t>%</w:t>
      </w:r>
      <w:r w:rsidR="00E165C3" w:rsidRPr="00D46FEC">
        <w:rPr>
          <w:rFonts w:ascii="Times New Roman" w:hAnsi="Times New Roman" w:cs="Times New Roman"/>
          <w:sz w:val="24"/>
          <w:szCs w:val="24"/>
        </w:rPr>
        <w:t xml:space="preserve">, </w:t>
      </w:r>
      <w:r w:rsidR="00E165C3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E165C3" w:rsidRPr="00D46FEC">
        <w:rPr>
          <w:rFonts w:ascii="Times New Roman" w:hAnsi="Times New Roman" w:cs="Times New Roman"/>
          <w:sz w:val="24"/>
          <w:szCs w:val="24"/>
        </w:rPr>
        <w:t xml:space="preserve"> – на </w:t>
      </w:r>
      <w:r w:rsidR="00E165C3">
        <w:rPr>
          <w:rFonts w:ascii="Times New Roman" w:hAnsi="Times New Roman" w:cs="Times New Roman"/>
          <w:sz w:val="24"/>
          <w:szCs w:val="24"/>
        </w:rPr>
        <w:t>50</w:t>
      </w:r>
      <w:r w:rsidR="00E165C3" w:rsidRPr="00D46FEC">
        <w:rPr>
          <w:rFonts w:ascii="Times New Roman" w:hAnsi="Times New Roman" w:cs="Times New Roman"/>
          <w:sz w:val="24"/>
          <w:szCs w:val="24"/>
        </w:rPr>
        <w:t xml:space="preserve"> </w:t>
      </w:r>
      <w:r w:rsidR="00E165C3">
        <w:rPr>
          <w:rFonts w:ascii="Times New Roman" w:hAnsi="Times New Roman" w:cs="Times New Roman"/>
          <w:sz w:val="24"/>
          <w:szCs w:val="24"/>
        </w:rPr>
        <w:t>%</w:t>
      </w:r>
      <w:r w:rsidR="003D4790">
        <w:rPr>
          <w:rFonts w:ascii="Times New Roman" w:hAnsi="Times New Roman" w:cs="Times New Roman"/>
          <w:sz w:val="24"/>
          <w:szCs w:val="24"/>
        </w:rPr>
        <w:t>,</w:t>
      </w:r>
      <w:r w:rsidR="00E165C3" w:rsidRPr="00D46FEC">
        <w:rPr>
          <w:rFonts w:ascii="Times New Roman" w:hAnsi="Times New Roman" w:cs="Times New Roman"/>
          <w:sz w:val="24"/>
          <w:szCs w:val="24"/>
        </w:rPr>
        <w:t xml:space="preserve"> </w:t>
      </w:r>
      <w:r w:rsidR="00E165C3">
        <w:rPr>
          <w:rFonts w:ascii="Times New Roman" w:hAnsi="Times New Roman" w:cs="Times New Roman"/>
          <w:sz w:val="24"/>
          <w:szCs w:val="24"/>
        </w:rPr>
        <w:t>государственная пошлина осталось на прежнем уровне (10 тыс. рублей).</w:t>
      </w:r>
    </w:p>
    <w:p w:rsidR="00846707" w:rsidRPr="00982077" w:rsidRDefault="00E165C3" w:rsidP="0084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6707">
        <w:rPr>
          <w:rFonts w:ascii="Times New Roman" w:hAnsi="Times New Roman" w:cs="Times New Roman"/>
          <w:sz w:val="24"/>
          <w:szCs w:val="24"/>
        </w:rPr>
        <w:t xml:space="preserve">В результате проведенной проверки проекта решения «Об утверждении отчета об исполнении бюджета Соцгородского сельского поселения МО за 2014 год» (приложение № 2) и годовой бюджетной отчетности за 2014 год, КСП района установлено в проекте решения несоответствие кода бюджетной классификации, а также числовых показателей по утвержденным бюджетным назначениям и исполнению,  в сумме 488 тыс. рублей и  391 тыс. рублей по </w:t>
      </w:r>
      <w:r w:rsidR="002F4AA9">
        <w:rPr>
          <w:rFonts w:ascii="Times New Roman" w:hAnsi="Times New Roman" w:cs="Times New Roman"/>
          <w:sz w:val="24"/>
          <w:szCs w:val="24"/>
        </w:rPr>
        <w:t xml:space="preserve">платежам </w:t>
      </w:r>
      <w:r w:rsidR="00846707">
        <w:rPr>
          <w:rFonts w:ascii="Times New Roman" w:hAnsi="Times New Roman" w:cs="Times New Roman"/>
          <w:sz w:val="24"/>
          <w:szCs w:val="24"/>
        </w:rPr>
        <w:t xml:space="preserve">«Налогам на товары (работы, услуги), реализуемые на территории Российской Федерации». </w:t>
      </w:r>
    </w:p>
    <w:p w:rsidR="00E165C3" w:rsidRPr="00F65417" w:rsidRDefault="00E165C3" w:rsidP="00F65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FEC">
        <w:rPr>
          <w:rFonts w:ascii="Times New Roman" w:hAnsi="Times New Roman" w:cs="Times New Roman"/>
          <w:sz w:val="24"/>
          <w:szCs w:val="24"/>
        </w:rPr>
        <w:t>Неналоговые доходы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FE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65417">
        <w:rPr>
          <w:rFonts w:ascii="Times New Roman" w:hAnsi="Times New Roman" w:cs="Times New Roman"/>
          <w:sz w:val="24"/>
          <w:szCs w:val="24"/>
        </w:rPr>
        <w:t xml:space="preserve">по сравнению с 2013 годом </w:t>
      </w:r>
      <w:r w:rsidRPr="00D46FEC">
        <w:rPr>
          <w:rFonts w:ascii="Times New Roman" w:hAnsi="Times New Roman" w:cs="Times New Roman"/>
          <w:sz w:val="24"/>
          <w:szCs w:val="24"/>
        </w:rPr>
        <w:t xml:space="preserve">снизились на </w:t>
      </w:r>
      <w:r w:rsidR="00F65417">
        <w:rPr>
          <w:rFonts w:ascii="Times New Roman" w:hAnsi="Times New Roman" w:cs="Times New Roman"/>
          <w:sz w:val="24"/>
          <w:szCs w:val="24"/>
        </w:rPr>
        <w:t>99,8</w:t>
      </w:r>
      <w:r w:rsidRPr="00D4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в том чис</w:t>
      </w:r>
      <w:r w:rsidRPr="00D46FEC">
        <w:rPr>
          <w:rFonts w:ascii="Times New Roman" w:hAnsi="Times New Roman" w:cs="Times New Roman"/>
          <w:sz w:val="24"/>
          <w:szCs w:val="24"/>
        </w:rPr>
        <w:t>ле</w:t>
      </w:r>
      <w:r w:rsidR="00F65417">
        <w:rPr>
          <w:rFonts w:ascii="Times New Roman" w:hAnsi="Times New Roman" w:cs="Times New Roman"/>
          <w:sz w:val="24"/>
          <w:szCs w:val="24"/>
        </w:rPr>
        <w:t>:</w:t>
      </w:r>
      <w:r w:rsidRPr="00D46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 от использования имущества</w:t>
      </w:r>
      <w:r w:rsidRPr="00D46FEC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93,4%, доходы от продажи материальных и немат</w:t>
      </w:r>
      <w:r w:rsidR="002F4AA9">
        <w:rPr>
          <w:rFonts w:ascii="Times New Roman" w:hAnsi="Times New Roman" w:cs="Times New Roman"/>
          <w:sz w:val="24"/>
          <w:szCs w:val="24"/>
        </w:rPr>
        <w:t xml:space="preserve">ериальных активов </w:t>
      </w:r>
      <w:r>
        <w:rPr>
          <w:rFonts w:ascii="Times New Roman" w:hAnsi="Times New Roman" w:cs="Times New Roman"/>
          <w:sz w:val="24"/>
          <w:szCs w:val="24"/>
        </w:rPr>
        <w:t>на 24 тыс. рублей и составили 0 тыс. рублей</w:t>
      </w:r>
      <w:r w:rsidR="00F65417">
        <w:rPr>
          <w:rFonts w:ascii="Times New Roman" w:hAnsi="Times New Roman" w:cs="Times New Roman"/>
          <w:sz w:val="24"/>
          <w:szCs w:val="24"/>
        </w:rPr>
        <w:t>. Вместе с тем, д</w:t>
      </w:r>
      <w:r>
        <w:rPr>
          <w:rFonts w:ascii="Times New Roman" w:hAnsi="Times New Roman" w:cs="Times New Roman"/>
          <w:sz w:val="24"/>
          <w:szCs w:val="24"/>
        </w:rPr>
        <w:t>оходы от оказания платных услуг увеличились на 16,6%</w:t>
      </w:r>
      <w:r w:rsidRPr="00D46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5C3" w:rsidRPr="00F809D8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9D8">
        <w:rPr>
          <w:rFonts w:ascii="Times New Roman" w:hAnsi="Times New Roman" w:cs="Times New Roman"/>
          <w:sz w:val="24"/>
          <w:szCs w:val="24"/>
        </w:rPr>
        <w:t>Объем собственных доходов бюджета сельского поселения в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09D8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D8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 xml:space="preserve">9 103 тыс. </w:t>
      </w:r>
      <w:r w:rsidRPr="00F809D8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>99,1%</w:t>
      </w:r>
      <w:r w:rsidRPr="00F809D8">
        <w:rPr>
          <w:rFonts w:ascii="Times New Roman" w:hAnsi="Times New Roman" w:cs="Times New Roman"/>
          <w:sz w:val="24"/>
          <w:szCs w:val="24"/>
        </w:rPr>
        <w:t xml:space="preserve"> в общей сумме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D8">
        <w:rPr>
          <w:rFonts w:ascii="Times New Roman" w:hAnsi="Times New Roman" w:cs="Times New Roman"/>
          <w:sz w:val="24"/>
          <w:szCs w:val="24"/>
        </w:rPr>
        <w:t xml:space="preserve">бюджета и исполнен на </w:t>
      </w:r>
      <w:r>
        <w:rPr>
          <w:rFonts w:ascii="Times New Roman" w:hAnsi="Times New Roman" w:cs="Times New Roman"/>
          <w:sz w:val="24"/>
          <w:szCs w:val="24"/>
        </w:rPr>
        <w:t>98,6%</w:t>
      </w:r>
      <w:r w:rsidRPr="00F809D8">
        <w:rPr>
          <w:rFonts w:ascii="Times New Roman" w:hAnsi="Times New Roman" w:cs="Times New Roman"/>
          <w:sz w:val="24"/>
          <w:szCs w:val="24"/>
        </w:rPr>
        <w:t>, что соответ</w:t>
      </w:r>
      <w:r>
        <w:rPr>
          <w:rFonts w:ascii="Times New Roman" w:hAnsi="Times New Roman" w:cs="Times New Roman"/>
          <w:sz w:val="24"/>
          <w:szCs w:val="24"/>
        </w:rPr>
        <w:t>ствует данным представ</w:t>
      </w:r>
      <w:r w:rsidRPr="00F809D8">
        <w:rPr>
          <w:rFonts w:ascii="Times New Roman" w:hAnsi="Times New Roman" w:cs="Times New Roman"/>
          <w:sz w:val="24"/>
          <w:szCs w:val="24"/>
        </w:rPr>
        <w:t>ленной годовой отчетности</w:t>
      </w:r>
      <w:r w:rsidR="00F65417">
        <w:rPr>
          <w:rFonts w:ascii="Times New Roman" w:hAnsi="Times New Roman" w:cs="Times New Roman"/>
          <w:sz w:val="24"/>
          <w:szCs w:val="24"/>
        </w:rPr>
        <w:t xml:space="preserve"> Соцгородского СП</w:t>
      </w:r>
      <w:r w:rsidRPr="00F809D8">
        <w:rPr>
          <w:rFonts w:ascii="Times New Roman" w:hAnsi="Times New Roman" w:cs="Times New Roman"/>
          <w:sz w:val="24"/>
          <w:szCs w:val="24"/>
        </w:rPr>
        <w:t>. К уровню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09D8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D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95D49">
        <w:rPr>
          <w:rFonts w:ascii="Times New Roman" w:hAnsi="Times New Roman" w:cs="Times New Roman"/>
          <w:sz w:val="24"/>
          <w:szCs w:val="24"/>
        </w:rPr>
        <w:t>101,7</w:t>
      </w:r>
      <w:r w:rsidR="00F6541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. Увеличение обусловлено увеличением объема </w:t>
      </w:r>
      <w:r w:rsidRPr="00095D49">
        <w:rPr>
          <w:rFonts w:ascii="Times New Roman" w:hAnsi="Times New Roman" w:cs="Times New Roman"/>
          <w:sz w:val="24"/>
          <w:szCs w:val="24"/>
        </w:rPr>
        <w:t xml:space="preserve">субсидий, </w:t>
      </w: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095D49">
        <w:rPr>
          <w:rFonts w:ascii="Times New Roman" w:hAnsi="Times New Roman" w:cs="Times New Roman"/>
          <w:sz w:val="24"/>
          <w:szCs w:val="24"/>
        </w:rPr>
        <w:t xml:space="preserve"> и неналоговых доходов.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817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поселения (Рисунок № 2) налоговые доходы занимают </w:t>
      </w:r>
      <w:r>
        <w:rPr>
          <w:rFonts w:ascii="Times New Roman" w:hAnsi="Times New Roman" w:cs="Times New Roman"/>
          <w:sz w:val="24"/>
          <w:szCs w:val="24"/>
        </w:rPr>
        <w:t>11,4</w:t>
      </w:r>
      <w:r w:rsidRPr="000C3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0C3817">
        <w:rPr>
          <w:rFonts w:ascii="Times New Roman" w:hAnsi="Times New Roman" w:cs="Times New Roman"/>
          <w:sz w:val="24"/>
          <w:szCs w:val="24"/>
        </w:rPr>
        <w:t>в общем объеме доходов бюджета и исполнены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81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90,9%</w:t>
      </w:r>
      <w:r w:rsidR="00F65417">
        <w:rPr>
          <w:rFonts w:ascii="Times New Roman" w:hAnsi="Times New Roman" w:cs="Times New Roman"/>
          <w:sz w:val="24"/>
          <w:szCs w:val="24"/>
        </w:rPr>
        <w:t xml:space="preserve"> от уточненных бюджетных назначений</w:t>
      </w:r>
      <w:r w:rsidRPr="000C3817">
        <w:rPr>
          <w:rFonts w:ascii="Times New Roman" w:hAnsi="Times New Roman" w:cs="Times New Roman"/>
          <w:sz w:val="24"/>
          <w:szCs w:val="24"/>
        </w:rPr>
        <w:t>. Удельный вес неналог</w:t>
      </w:r>
      <w:r>
        <w:rPr>
          <w:rFonts w:ascii="Times New Roman" w:hAnsi="Times New Roman" w:cs="Times New Roman"/>
          <w:sz w:val="24"/>
          <w:szCs w:val="24"/>
        </w:rPr>
        <w:t>овых доходов в общем объеме до</w:t>
      </w:r>
      <w:r w:rsidRPr="000C3817">
        <w:rPr>
          <w:rFonts w:ascii="Times New Roman" w:hAnsi="Times New Roman" w:cs="Times New Roman"/>
          <w:sz w:val="24"/>
          <w:szCs w:val="24"/>
        </w:rPr>
        <w:t xml:space="preserve">ходов поселения составляет </w:t>
      </w:r>
      <w:r>
        <w:rPr>
          <w:rFonts w:ascii="Times New Roman" w:hAnsi="Times New Roman" w:cs="Times New Roman"/>
          <w:sz w:val="24"/>
          <w:szCs w:val="24"/>
        </w:rPr>
        <w:t>0,2%</w:t>
      </w:r>
      <w:r w:rsidRPr="000C3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817">
        <w:rPr>
          <w:rFonts w:ascii="Times New Roman" w:hAnsi="Times New Roman" w:cs="Times New Roman"/>
          <w:sz w:val="24"/>
          <w:szCs w:val="24"/>
        </w:rPr>
        <w:t>Наибольший удельный вес в структуре доходов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C3817">
        <w:rPr>
          <w:rFonts w:ascii="Times New Roman" w:hAnsi="Times New Roman" w:cs="Times New Roman"/>
          <w:sz w:val="24"/>
          <w:szCs w:val="24"/>
        </w:rPr>
        <w:t xml:space="preserve"> год составляют</w:t>
      </w:r>
      <w:r>
        <w:rPr>
          <w:rFonts w:ascii="Times New Roman" w:hAnsi="Times New Roman" w:cs="Times New Roman"/>
          <w:sz w:val="24"/>
          <w:szCs w:val="24"/>
        </w:rPr>
        <w:t xml:space="preserve"> субсидий (65,8%), </w:t>
      </w:r>
      <w:r w:rsidRPr="000C3817">
        <w:rPr>
          <w:rFonts w:ascii="Times New Roman" w:hAnsi="Times New Roman" w:cs="Times New Roman"/>
          <w:sz w:val="24"/>
          <w:szCs w:val="24"/>
        </w:rPr>
        <w:t>дотации на выравнивание уровня бюджетной обеспеченности (</w:t>
      </w:r>
      <w:r>
        <w:rPr>
          <w:rFonts w:ascii="Times New Roman" w:hAnsi="Times New Roman" w:cs="Times New Roman"/>
          <w:sz w:val="24"/>
          <w:szCs w:val="24"/>
        </w:rPr>
        <w:t>21,7</w:t>
      </w:r>
      <w:r w:rsidRPr="000C3817">
        <w:rPr>
          <w:rFonts w:ascii="Times New Roman" w:hAnsi="Times New Roman" w:cs="Times New Roman"/>
          <w:sz w:val="24"/>
          <w:szCs w:val="24"/>
        </w:rPr>
        <w:t>%).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№  2.</w:t>
      </w:r>
      <w:r w:rsidRPr="00E165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15100" cy="30099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ab/>
      </w:r>
    </w:p>
    <w:p w:rsidR="00E165C3" w:rsidRPr="00DB6B68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9"/>
          <w:szCs w:val="29"/>
        </w:rPr>
        <w:t xml:space="preserve">          </w:t>
      </w:r>
      <w:r w:rsidRPr="00DB6B68">
        <w:rPr>
          <w:rFonts w:ascii="Times New Roman" w:hAnsi="Times New Roman" w:cs="Times New Roman"/>
          <w:bCs/>
          <w:sz w:val="24"/>
          <w:szCs w:val="24"/>
        </w:rPr>
        <w:t>В структуре доходов, поступивших в бюджет поселения в 2014 году, налоговые и неналоговые доходы занимают 11,6%  и исполнены на 91%.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B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B68">
        <w:rPr>
          <w:rFonts w:ascii="Times New Roman" w:hAnsi="Times New Roman" w:cs="Times New Roman"/>
          <w:bCs/>
          <w:sz w:val="24"/>
          <w:szCs w:val="24"/>
        </w:rPr>
        <w:t>П</w:t>
      </w:r>
      <w:r w:rsidRPr="00DB6B68">
        <w:rPr>
          <w:rFonts w:ascii="Times New Roman" w:eastAsia="Calibri" w:hAnsi="Times New Roman" w:cs="Times New Roman"/>
          <w:sz w:val="24"/>
          <w:szCs w:val="24"/>
        </w:rPr>
        <w:t>оступление НДФЛ, как основного источника, формирующего собственную доходную базу местного бюджета и наиболее стабильного, в бюджет поселения в 2014 году, увеличилось по сравнению с 2013 годом на 29 тыс. рублей; по доходам от использования имущества, находящегося в государственной или муниципальной собственности по сравнению с 2013 годом увеличилось на 2 тыс. рублей.</w:t>
      </w:r>
      <w:r w:rsidR="000D20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2037" w:rsidRPr="00DB6B68">
        <w:rPr>
          <w:rFonts w:ascii="Times New Roman" w:eastAsia="Calibri" w:hAnsi="Times New Roman" w:cs="Times New Roman"/>
          <w:sz w:val="24"/>
          <w:szCs w:val="24"/>
        </w:rPr>
        <w:t>Вместе с тем, выполнение уточненных плановых значений по доходам от использования имущества составило всего 58%.</w:t>
      </w:r>
    </w:p>
    <w:p w:rsidR="000D2037" w:rsidRPr="00DB6B68" w:rsidRDefault="000D2037" w:rsidP="000D2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земельные участки, собственность на которые не разграничена, распределяется между МО «Нижнеилимский район» и поселениями по нормативу, установленному ст. 62 БК РФ (50% на 50%). Договора аренды на эти участки с юридическими и физическими лицами заключает Департамент по управлению муниципальным имуществом администрации Нижнеилимского</w:t>
      </w:r>
      <w:r w:rsidR="00F6541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227BB">
        <w:rPr>
          <w:rFonts w:ascii="Times New Roman" w:hAnsi="Times New Roman" w:cs="Times New Roman"/>
          <w:sz w:val="24"/>
          <w:szCs w:val="24"/>
        </w:rPr>
        <w:t>-Департамент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165C3" w:rsidRPr="00DB6B68" w:rsidRDefault="00E165C3" w:rsidP="00E165C3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B6B6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B6B68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E227BB">
        <w:rPr>
          <w:rFonts w:ascii="Times New Roman" w:hAnsi="Times New Roman" w:cs="Times New Roman"/>
          <w:sz w:val="24"/>
          <w:szCs w:val="24"/>
        </w:rPr>
        <w:t>Департаментом</w:t>
      </w:r>
      <w:r w:rsidRPr="00DB6B68">
        <w:rPr>
          <w:rFonts w:ascii="Times New Roman" w:hAnsi="Times New Roman" w:cs="Times New Roman"/>
          <w:sz w:val="24"/>
          <w:szCs w:val="24"/>
        </w:rPr>
        <w:t xml:space="preserve">, по состоянию на 01.01.2015 года задолженность по арендной плате по действующим договорам аренды земельных участков составила </w:t>
      </w:r>
      <w:r>
        <w:rPr>
          <w:rFonts w:ascii="Times New Roman" w:hAnsi="Times New Roman" w:cs="Times New Roman"/>
          <w:sz w:val="24"/>
          <w:szCs w:val="24"/>
        </w:rPr>
        <w:t>1 381,6</w:t>
      </w:r>
      <w:r w:rsidRPr="00DB6B6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E227BB">
        <w:rPr>
          <w:rFonts w:ascii="Times New Roman" w:hAnsi="Times New Roman" w:cs="Times New Roman"/>
          <w:sz w:val="24"/>
          <w:szCs w:val="24"/>
        </w:rPr>
        <w:t>лей</w:t>
      </w:r>
      <w:r w:rsidRPr="00DB6B68">
        <w:rPr>
          <w:rFonts w:ascii="Times New Roman" w:hAnsi="Times New Roman" w:cs="Times New Roman"/>
          <w:sz w:val="24"/>
          <w:szCs w:val="24"/>
        </w:rPr>
        <w:t xml:space="preserve">. </w:t>
      </w:r>
      <w:r w:rsidR="000D2037">
        <w:rPr>
          <w:rFonts w:ascii="Times New Roman" w:hAnsi="Times New Roman" w:cs="Times New Roman"/>
          <w:sz w:val="24"/>
          <w:szCs w:val="24"/>
        </w:rPr>
        <w:t xml:space="preserve">Основная часть </w:t>
      </w:r>
      <w:r w:rsidR="00645D9F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="000D2037">
        <w:rPr>
          <w:rFonts w:ascii="Times New Roman" w:hAnsi="Times New Roman" w:cs="Times New Roman"/>
          <w:sz w:val="24"/>
          <w:szCs w:val="24"/>
        </w:rPr>
        <w:t xml:space="preserve">задолженности по арендной плате  </w:t>
      </w:r>
      <w:r w:rsidR="00645D9F">
        <w:rPr>
          <w:rFonts w:ascii="Times New Roman" w:hAnsi="Times New Roman" w:cs="Times New Roman"/>
          <w:sz w:val="24"/>
          <w:szCs w:val="24"/>
        </w:rPr>
        <w:t xml:space="preserve">возникла у ООО «Шумиловский леспромхоз». </w:t>
      </w:r>
      <w:r w:rsidR="006139C1">
        <w:rPr>
          <w:rFonts w:ascii="Times New Roman" w:hAnsi="Times New Roman" w:cs="Times New Roman"/>
          <w:sz w:val="24"/>
          <w:szCs w:val="24"/>
        </w:rPr>
        <w:t>Департаментом ведется претензионно-исковая р</w:t>
      </w:r>
      <w:r w:rsidR="001C0E7A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EA7EC3">
        <w:rPr>
          <w:rFonts w:ascii="Times New Roman" w:hAnsi="Times New Roman" w:cs="Times New Roman"/>
          <w:sz w:val="24"/>
          <w:szCs w:val="24"/>
        </w:rPr>
        <w:t xml:space="preserve">о </w:t>
      </w:r>
      <w:r w:rsidR="001C0E7A">
        <w:rPr>
          <w:rFonts w:ascii="Times New Roman" w:hAnsi="Times New Roman" w:cs="Times New Roman"/>
          <w:sz w:val="24"/>
          <w:szCs w:val="24"/>
        </w:rPr>
        <w:t xml:space="preserve">взыскании задолженности с </w:t>
      </w:r>
      <w:r w:rsidR="00645D9F">
        <w:rPr>
          <w:rFonts w:ascii="Times New Roman" w:hAnsi="Times New Roman" w:cs="Times New Roman"/>
          <w:sz w:val="24"/>
          <w:szCs w:val="24"/>
        </w:rPr>
        <w:t>указанного арендатора</w:t>
      </w:r>
      <w:r w:rsidR="001C0E7A">
        <w:rPr>
          <w:rFonts w:ascii="Times New Roman" w:hAnsi="Times New Roman" w:cs="Times New Roman"/>
          <w:sz w:val="24"/>
          <w:szCs w:val="24"/>
        </w:rPr>
        <w:t>. Решением Арбитражного суда Иркутской области от 18.03.2015г. № А19-139/2015</w:t>
      </w:r>
      <w:r w:rsidR="000D2037">
        <w:rPr>
          <w:rFonts w:ascii="Times New Roman" w:hAnsi="Times New Roman" w:cs="Times New Roman"/>
          <w:sz w:val="24"/>
          <w:szCs w:val="24"/>
        </w:rPr>
        <w:t xml:space="preserve"> принято решение о взыскании с ООО «Шумиловский </w:t>
      </w:r>
      <w:r w:rsidR="00F65417">
        <w:rPr>
          <w:rFonts w:ascii="Times New Roman" w:hAnsi="Times New Roman" w:cs="Times New Roman"/>
          <w:sz w:val="24"/>
          <w:szCs w:val="24"/>
        </w:rPr>
        <w:t>леспромхоз</w:t>
      </w:r>
      <w:r w:rsidR="000D2037">
        <w:rPr>
          <w:rFonts w:ascii="Times New Roman" w:hAnsi="Times New Roman" w:cs="Times New Roman"/>
          <w:sz w:val="24"/>
          <w:szCs w:val="24"/>
        </w:rPr>
        <w:t>» суммы</w:t>
      </w:r>
      <w:r w:rsidR="00F65417">
        <w:rPr>
          <w:rFonts w:ascii="Times New Roman" w:hAnsi="Times New Roman" w:cs="Times New Roman"/>
          <w:sz w:val="24"/>
          <w:szCs w:val="24"/>
        </w:rPr>
        <w:t>:</w:t>
      </w:r>
      <w:r w:rsidR="000D2037">
        <w:rPr>
          <w:rFonts w:ascii="Times New Roman" w:hAnsi="Times New Roman" w:cs="Times New Roman"/>
          <w:sz w:val="24"/>
          <w:szCs w:val="24"/>
        </w:rPr>
        <w:t xml:space="preserve"> 1 199,7</w:t>
      </w:r>
      <w:r w:rsidR="00645D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D2037">
        <w:rPr>
          <w:rFonts w:ascii="Times New Roman" w:hAnsi="Times New Roman" w:cs="Times New Roman"/>
          <w:sz w:val="24"/>
          <w:szCs w:val="24"/>
        </w:rPr>
        <w:t xml:space="preserve"> – арендной платы, 263,2 тыс. рублей – неустойки.</w:t>
      </w:r>
      <w:r w:rsidRPr="00DB6B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65C3" w:rsidRPr="00095D49" w:rsidRDefault="00E165C3" w:rsidP="0064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B68">
        <w:rPr>
          <w:rFonts w:ascii="Times New Roman" w:hAnsi="Times New Roman" w:cs="Times New Roman"/>
          <w:sz w:val="24"/>
          <w:szCs w:val="24"/>
        </w:rPr>
        <w:t xml:space="preserve"> </w:t>
      </w:r>
      <w:r w:rsidRPr="00DB6B68">
        <w:rPr>
          <w:rFonts w:ascii="Times New Roman" w:hAnsi="Times New Roman" w:cs="Times New Roman"/>
          <w:sz w:val="24"/>
          <w:szCs w:val="24"/>
        </w:rPr>
        <w:tab/>
        <w:t>Безвозмездные поступления составили 8 117 тыс. рублей или 88,4% к общему объему</w:t>
      </w:r>
      <w:r w:rsidRPr="00095D49">
        <w:rPr>
          <w:rFonts w:ascii="Times New Roman" w:hAnsi="Times New Roman" w:cs="Times New Roman"/>
          <w:sz w:val="24"/>
          <w:szCs w:val="24"/>
        </w:rPr>
        <w:t xml:space="preserve"> поступивших доходов. Исполнение по данному источнику доходов </w:t>
      </w:r>
      <w:r w:rsidR="00F65417">
        <w:rPr>
          <w:rFonts w:ascii="Times New Roman" w:hAnsi="Times New Roman" w:cs="Times New Roman"/>
          <w:sz w:val="24"/>
          <w:szCs w:val="24"/>
        </w:rPr>
        <w:t>к уровню 2013 года составило 99%</w:t>
      </w:r>
      <w:r w:rsidRPr="00095D49">
        <w:rPr>
          <w:rFonts w:ascii="Times New Roman" w:hAnsi="Times New Roman" w:cs="Times New Roman"/>
          <w:sz w:val="24"/>
          <w:szCs w:val="24"/>
        </w:rPr>
        <w:t>.</w:t>
      </w:r>
    </w:p>
    <w:p w:rsidR="00E165C3" w:rsidRDefault="00E165C3" w:rsidP="00E165C3">
      <w:pPr>
        <w:tabs>
          <w:tab w:val="left" w:pos="74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Расходная часть бюджета сельского поселения в соответствии с данными годовой бюджетной отчетности исполнена в 2014 году в сумме 9 084,0 тыс. рублей или 97 % к уточненным бюджетным назначениям, по сравнению с 2013 годом – </w:t>
      </w:r>
      <w:r w:rsidR="00F65417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 % (Таблица № 2).</w:t>
      </w:r>
    </w:p>
    <w:p w:rsidR="00E165C3" w:rsidRDefault="00E165C3" w:rsidP="00E165C3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2.</w:t>
      </w:r>
    </w:p>
    <w:p w:rsidR="00E165C3" w:rsidRPr="00476A56" w:rsidRDefault="00E165C3" w:rsidP="00E165C3">
      <w:pPr>
        <w:tabs>
          <w:tab w:val="left" w:pos="747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E165C3" w:rsidRDefault="00E165C3" w:rsidP="00E165C3">
      <w:pPr>
        <w:tabs>
          <w:tab w:val="left" w:pos="747"/>
        </w:tabs>
        <w:spacing w:after="0" w:line="24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843"/>
        <w:gridCol w:w="1276"/>
        <w:gridCol w:w="1417"/>
        <w:gridCol w:w="993"/>
        <w:gridCol w:w="1134"/>
        <w:gridCol w:w="1275"/>
        <w:gridCol w:w="1276"/>
        <w:gridCol w:w="1134"/>
      </w:tblGrid>
      <w:tr w:rsidR="00E165C3" w:rsidTr="00F65417">
        <w:trPr>
          <w:trHeight w:val="615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E165C3" w:rsidRPr="00715D66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E165C3" w:rsidRPr="00715D66" w:rsidRDefault="00E165C3" w:rsidP="006139C1">
            <w:pPr>
              <w:tabs>
                <w:tab w:val="left" w:pos="747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в 2013 году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E165C3" w:rsidRPr="00715D66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Уточненные бюджетные</w:t>
            </w:r>
          </w:p>
          <w:p w:rsidR="00E165C3" w:rsidRPr="00715D66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назначения</w:t>
            </w:r>
          </w:p>
          <w:p w:rsidR="00E165C3" w:rsidRPr="00715D66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 201</w:t>
            </w:r>
            <w:r w:rsidR="00E227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165C3" w:rsidRPr="00715D66" w:rsidRDefault="00E165C3" w:rsidP="006139C1">
            <w:pPr>
              <w:tabs>
                <w:tab w:val="left" w:pos="1309"/>
              </w:tabs>
              <w:ind w:lef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(РД 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31.12.2014 № 79)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5C3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65C3" w:rsidRPr="00715D66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в 2014 году</w:t>
            </w:r>
          </w:p>
        </w:tc>
      </w:tr>
      <w:tr w:rsidR="00E165C3" w:rsidTr="00F65417">
        <w:trPr>
          <w:trHeight w:val="525"/>
        </w:trPr>
        <w:tc>
          <w:tcPr>
            <w:tcW w:w="1843" w:type="dxa"/>
            <w:vMerge/>
            <w:shd w:val="clear" w:color="auto" w:fill="D9D9D9" w:themeFill="background1" w:themeFillShade="D9"/>
          </w:tcPr>
          <w:p w:rsidR="00E165C3" w:rsidRPr="00715D66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E165C3" w:rsidRPr="00715D66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E165C3" w:rsidRPr="00715D66" w:rsidRDefault="00E165C3" w:rsidP="006139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65C3" w:rsidRPr="00715D66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65C3" w:rsidRDefault="00E165C3" w:rsidP="006139C1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Отк</w:t>
            </w:r>
            <w:r w:rsidR="00F65417">
              <w:rPr>
                <w:rFonts w:ascii="Times New Roman" w:hAnsi="Times New Roman" w:cs="Times New Roman"/>
                <w:b/>
                <w:sz w:val="20"/>
                <w:szCs w:val="20"/>
              </w:rPr>
              <w:t>л-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  <w:p w:rsidR="00E165C3" w:rsidRPr="00715D66" w:rsidRDefault="00E165C3" w:rsidP="006139C1">
            <w:pPr>
              <w:autoSpaceDE w:val="0"/>
              <w:autoSpaceDN w:val="0"/>
              <w:adjustRightInd w:val="0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бюджетных</w:t>
            </w:r>
          </w:p>
          <w:p w:rsidR="00E165C3" w:rsidRPr="00715D66" w:rsidRDefault="00E165C3" w:rsidP="006139C1">
            <w:pPr>
              <w:autoSpaceDE w:val="0"/>
              <w:autoSpaceDN w:val="0"/>
              <w:adjustRightInd w:val="0"/>
              <w:ind w:left="-108" w:right="-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5417" w:rsidRDefault="00E165C3" w:rsidP="00F6541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к уточнен</w:t>
            </w:r>
            <w:r w:rsidR="00F654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165C3" w:rsidRPr="00715D66" w:rsidRDefault="00E165C3" w:rsidP="00F65417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бюджету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65C3" w:rsidRPr="00715D66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Уд.вес в общем объеме расходов (%)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65C3" w:rsidRPr="00715D66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К исполне</w:t>
            </w:r>
            <w:r w:rsidR="000E5F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5D66">
              <w:rPr>
                <w:rFonts w:ascii="Times New Roman" w:hAnsi="Times New Roman" w:cs="Times New Roman"/>
                <w:b/>
                <w:sz w:val="20"/>
                <w:szCs w:val="20"/>
              </w:rPr>
              <w:t>ию 2013 года (%)</w:t>
            </w:r>
          </w:p>
        </w:tc>
      </w:tr>
      <w:tr w:rsidR="00E165C3" w:rsidTr="00F65417">
        <w:tc>
          <w:tcPr>
            <w:tcW w:w="184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lastRenderedPageBreak/>
              <w:t>Всего расходов, в том числе: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75E9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1417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75E9">
              <w:rPr>
                <w:rFonts w:ascii="Times New Roman" w:hAnsi="Times New Roman" w:cs="Times New Roman"/>
                <w:b/>
              </w:rPr>
              <w:t>347</w:t>
            </w:r>
          </w:p>
        </w:tc>
        <w:tc>
          <w:tcPr>
            <w:tcW w:w="99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75E9">
              <w:rPr>
                <w:rFonts w:ascii="Times New Roman" w:hAnsi="Times New Roman" w:cs="Times New Roman"/>
                <w:b/>
              </w:rPr>
              <w:t>084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-263</w:t>
            </w:r>
          </w:p>
        </w:tc>
        <w:tc>
          <w:tcPr>
            <w:tcW w:w="1275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975E9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E165C3" w:rsidTr="00F65417">
        <w:tc>
          <w:tcPr>
            <w:tcW w:w="1843" w:type="dxa"/>
          </w:tcPr>
          <w:p w:rsidR="00E165C3" w:rsidRPr="00715D66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Общегосударст-венные расходы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417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509,7</w:t>
            </w:r>
          </w:p>
        </w:tc>
        <w:tc>
          <w:tcPr>
            <w:tcW w:w="99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5479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-30,7</w:t>
            </w:r>
          </w:p>
        </w:tc>
        <w:tc>
          <w:tcPr>
            <w:tcW w:w="1275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E165C3" w:rsidTr="00F65417">
        <w:tc>
          <w:tcPr>
            <w:tcW w:w="1843" w:type="dxa"/>
          </w:tcPr>
          <w:p w:rsidR="00E165C3" w:rsidRPr="00715D66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99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165C3" w:rsidTr="00F65417">
        <w:tc>
          <w:tcPr>
            <w:tcW w:w="1843" w:type="dxa"/>
          </w:tcPr>
          <w:p w:rsidR="00E165C3" w:rsidRPr="00715D66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правоохранитель-ная деятельность</w:t>
            </w:r>
          </w:p>
        </w:tc>
        <w:tc>
          <w:tcPr>
            <w:tcW w:w="1276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65C3" w:rsidTr="00F65417">
        <w:tc>
          <w:tcPr>
            <w:tcW w:w="1843" w:type="dxa"/>
          </w:tcPr>
          <w:p w:rsidR="00E165C3" w:rsidRPr="00715D66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1417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518,7</w:t>
            </w:r>
          </w:p>
        </w:tc>
        <w:tc>
          <w:tcPr>
            <w:tcW w:w="99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-184,7</w:t>
            </w:r>
          </w:p>
        </w:tc>
        <w:tc>
          <w:tcPr>
            <w:tcW w:w="1275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</w:tr>
      <w:tr w:rsidR="00E165C3" w:rsidTr="00F65417">
        <w:tc>
          <w:tcPr>
            <w:tcW w:w="1843" w:type="dxa"/>
          </w:tcPr>
          <w:p w:rsidR="00E165C3" w:rsidRPr="00715D66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417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204,7</w:t>
            </w:r>
          </w:p>
        </w:tc>
        <w:tc>
          <w:tcPr>
            <w:tcW w:w="99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5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165C3" w:rsidTr="00F65417">
        <w:tc>
          <w:tcPr>
            <w:tcW w:w="1843" w:type="dxa"/>
          </w:tcPr>
          <w:p w:rsidR="00E165C3" w:rsidRPr="00715D66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417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031,5</w:t>
            </w:r>
          </w:p>
        </w:tc>
        <w:tc>
          <w:tcPr>
            <w:tcW w:w="99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-45,5</w:t>
            </w:r>
          </w:p>
        </w:tc>
        <w:tc>
          <w:tcPr>
            <w:tcW w:w="1275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165C3" w:rsidTr="00F65417">
        <w:tc>
          <w:tcPr>
            <w:tcW w:w="1843" w:type="dxa"/>
          </w:tcPr>
          <w:p w:rsidR="00E165C3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5C3" w:rsidTr="00F65417">
        <w:tc>
          <w:tcPr>
            <w:tcW w:w="1843" w:type="dxa"/>
          </w:tcPr>
          <w:p w:rsidR="00E165C3" w:rsidRDefault="00E165C3" w:rsidP="006139C1">
            <w:pPr>
              <w:tabs>
                <w:tab w:val="left" w:pos="747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E165C3" w:rsidRPr="006975E9" w:rsidRDefault="00E227BB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275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165C3" w:rsidRPr="006975E9" w:rsidRDefault="00E165C3" w:rsidP="006139C1">
            <w:pPr>
              <w:tabs>
                <w:tab w:val="left" w:pos="747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75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E165C3" w:rsidRPr="002D648B" w:rsidRDefault="00E165C3" w:rsidP="00E165C3">
      <w:pPr>
        <w:pStyle w:val="2"/>
        <w:ind w:left="0" w:right="0" w:firstLine="709"/>
        <w:rPr>
          <w:sz w:val="24"/>
          <w:szCs w:val="24"/>
        </w:rPr>
      </w:pPr>
      <w:r w:rsidRPr="002D648B">
        <w:rPr>
          <w:sz w:val="24"/>
          <w:szCs w:val="24"/>
        </w:rPr>
        <w:t xml:space="preserve">Формирование расходных обязательств в соответствии со ст. 87 Бюджетного кодекса Российской Федерации в </w:t>
      </w:r>
      <w:r>
        <w:rPr>
          <w:sz w:val="24"/>
          <w:szCs w:val="24"/>
        </w:rPr>
        <w:t>Соцгородском сельском</w:t>
      </w:r>
      <w:r w:rsidRPr="002D648B">
        <w:rPr>
          <w:sz w:val="24"/>
          <w:szCs w:val="24"/>
        </w:rPr>
        <w:t xml:space="preserve"> поселении осуществляется на основе реестра расходных обязательств.</w:t>
      </w:r>
      <w:r w:rsidRPr="002D648B">
        <w:rPr>
          <w:color w:val="FF0000"/>
          <w:sz w:val="24"/>
          <w:szCs w:val="24"/>
        </w:rPr>
        <w:t xml:space="preserve"> </w:t>
      </w:r>
      <w:r w:rsidRPr="002D648B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>администрации от 08.08.2012 № 44</w:t>
      </w:r>
      <w:r w:rsidRPr="002D648B">
        <w:rPr>
          <w:sz w:val="24"/>
          <w:szCs w:val="24"/>
        </w:rPr>
        <w:t xml:space="preserve"> утверждено Положение о порядке ведения реестра расходных обязательств </w:t>
      </w:r>
      <w:r>
        <w:rPr>
          <w:sz w:val="24"/>
          <w:szCs w:val="24"/>
        </w:rPr>
        <w:t>Соцгородского сельского</w:t>
      </w:r>
      <w:r w:rsidRPr="002D648B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(далее – Порядок ведения реестра расходных обязательств)</w:t>
      </w:r>
      <w:r w:rsidRPr="002D648B">
        <w:rPr>
          <w:sz w:val="24"/>
          <w:szCs w:val="24"/>
        </w:rPr>
        <w:t xml:space="preserve">. </w:t>
      </w:r>
    </w:p>
    <w:p w:rsidR="006139C1" w:rsidRDefault="00E165C3" w:rsidP="00E165C3">
      <w:pPr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Представленный для внешней проверки реестр расходных обязательств Соцгородского СП</w:t>
      </w:r>
      <w:r w:rsidR="000E5FAC">
        <w:rPr>
          <w:rFonts w:ascii="Times New Roman" w:hAnsi="Times New Roman" w:cs="Times New Roman"/>
          <w:sz w:val="24"/>
          <w:szCs w:val="24"/>
        </w:rPr>
        <w:t xml:space="preserve"> (далее – реестр)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EC3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7EC3">
        <w:rPr>
          <w:rFonts w:ascii="Times New Roman" w:hAnsi="Times New Roman" w:cs="Times New Roman"/>
          <w:sz w:val="24"/>
          <w:szCs w:val="24"/>
        </w:rPr>
        <w:t xml:space="preserve">что </w:t>
      </w:r>
      <w:r w:rsidR="000E5FAC">
        <w:rPr>
          <w:rFonts w:ascii="Times New Roman" w:hAnsi="Times New Roman" w:cs="Times New Roman"/>
          <w:sz w:val="24"/>
          <w:szCs w:val="24"/>
        </w:rPr>
        <w:t>числовые</w:t>
      </w:r>
      <w:r>
        <w:rPr>
          <w:rFonts w:ascii="Times New Roman" w:hAnsi="Times New Roman" w:cs="Times New Roman"/>
          <w:sz w:val="24"/>
          <w:szCs w:val="24"/>
        </w:rPr>
        <w:t xml:space="preserve"> показатели 201</w:t>
      </w:r>
      <w:r w:rsidR="000E5F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-2017 г.г. соответству</w:t>
      </w:r>
      <w:r w:rsidR="00EA7EC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 бюджетным назначениям по исполнению бюджета 2013 года, утвержденным бюджетным ассигнованиям 2014 года и фактическому исполнению за 2014 год. </w:t>
      </w:r>
      <w:r w:rsidR="000E5FAC">
        <w:rPr>
          <w:rFonts w:ascii="Times New Roman" w:hAnsi="Times New Roman" w:cs="Times New Roman"/>
          <w:sz w:val="24"/>
          <w:szCs w:val="24"/>
        </w:rPr>
        <w:t>Следует отметить, что р</w:t>
      </w:r>
      <w:r w:rsidR="00805617">
        <w:rPr>
          <w:rFonts w:ascii="Times New Roman" w:hAnsi="Times New Roman" w:cs="Times New Roman"/>
          <w:sz w:val="24"/>
          <w:szCs w:val="24"/>
        </w:rPr>
        <w:t>еестр расходных обязательств содержит расходные обязательства по исполнению полномочий, переданных поселением администрации Нижнеилимского муниципального района, при этом в  реестре не указаны номер и дата соглашения о передаче данных полномочий, срок действия указанного документа</w:t>
      </w:r>
      <w:r>
        <w:rPr>
          <w:rFonts w:ascii="Times New Roman" w:hAnsi="Times New Roman" w:cs="Times New Roman"/>
          <w:sz w:val="24"/>
          <w:szCs w:val="24"/>
        </w:rPr>
        <w:t>. В реестре присутствуют расходные обязательства, не имеющие цифрового значения. Данные расходные обязательства следует исключать из реестра.</w:t>
      </w:r>
    </w:p>
    <w:p w:rsidR="006139C1" w:rsidRDefault="006139C1" w:rsidP="00645D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КСП района представлены для проведения экспертно-аналитического мероприятия бюджетные росписи Соцгородского СП за 2014 год. При выборочной проверке установлено</w:t>
      </w:r>
      <w:r w:rsidR="001C0E7A">
        <w:rPr>
          <w:rFonts w:ascii="Times New Roman" w:hAnsi="Times New Roman" w:cs="Times New Roman"/>
          <w:sz w:val="24"/>
          <w:szCs w:val="24"/>
        </w:rPr>
        <w:t>, что показатели сводной бюджетной росписи на 2014 год соответствуют показателям бюджета поселения на 2014 год, показатели уточненной сводной бюджетной росписи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E7A">
        <w:rPr>
          <w:rFonts w:ascii="Times New Roman" w:hAnsi="Times New Roman" w:cs="Times New Roman"/>
          <w:sz w:val="24"/>
          <w:szCs w:val="24"/>
        </w:rPr>
        <w:t xml:space="preserve">по состоянию на 31.12.2014г. </w:t>
      </w:r>
      <w:r w:rsidRPr="006139C1">
        <w:rPr>
          <w:rFonts w:ascii="Times New Roman" w:eastAsia="Calibri" w:hAnsi="Times New Roman" w:cs="Times New Roman"/>
          <w:sz w:val="24"/>
          <w:szCs w:val="24"/>
        </w:rPr>
        <w:t>соответствуют показателям уточненного бюджета поселения на 201</w:t>
      </w:r>
      <w:r w:rsidR="001C0E7A">
        <w:rPr>
          <w:rFonts w:ascii="Times New Roman" w:eastAsia="Calibri" w:hAnsi="Times New Roman" w:cs="Times New Roman"/>
          <w:sz w:val="24"/>
          <w:szCs w:val="24"/>
        </w:rPr>
        <w:t>4</w:t>
      </w:r>
      <w:r w:rsidRPr="006139C1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645D9F" w:rsidRPr="006139C1" w:rsidRDefault="00645D9F" w:rsidP="00645D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65C3" w:rsidRPr="00CE39FC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9FC">
        <w:rPr>
          <w:rFonts w:ascii="Times New Roman" w:hAnsi="Times New Roman" w:cs="Times New Roman"/>
          <w:sz w:val="24"/>
          <w:szCs w:val="24"/>
        </w:rPr>
        <w:t xml:space="preserve">Анализ исполнения расходов бюджета показал, что </w:t>
      </w:r>
      <w:r>
        <w:rPr>
          <w:rFonts w:ascii="Times New Roman" w:hAnsi="Times New Roman" w:cs="Times New Roman"/>
          <w:sz w:val="24"/>
          <w:szCs w:val="24"/>
        </w:rPr>
        <w:t xml:space="preserve">большая часть бюджетных ассигнований направлена </w:t>
      </w:r>
      <w:r w:rsidRPr="00CE39FC">
        <w:rPr>
          <w:rFonts w:ascii="Times New Roman" w:hAnsi="Times New Roman" w:cs="Times New Roman"/>
          <w:sz w:val="24"/>
          <w:szCs w:val="24"/>
        </w:rPr>
        <w:t xml:space="preserve">на «Общегосударственные вопросы» и «Культуру, кинематографию». </w:t>
      </w:r>
    </w:p>
    <w:p w:rsidR="00E165C3" w:rsidRPr="000768EA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Согласно Указаниям  </w:t>
      </w:r>
      <w:r w:rsidRPr="0093119D">
        <w:rPr>
          <w:rFonts w:ascii="TimesNewRomanPSMT" w:hAnsi="TimesNewRomanPSMT" w:cs="TimesNewRomanPSMT"/>
          <w:sz w:val="24"/>
          <w:szCs w:val="24"/>
        </w:rPr>
        <w:t>о порядке применения бюджетной классификации Российской Федерации</w:t>
      </w:r>
      <w:r>
        <w:rPr>
          <w:rFonts w:ascii="TimesNewRomanPSMT" w:hAnsi="TimesNewRomanPSMT" w:cs="TimesNewRomanPSMT"/>
          <w:sz w:val="24"/>
          <w:szCs w:val="24"/>
        </w:rPr>
        <w:t>, утвержденной Приказом Минфина РФ от 01.07.2013 № 65н</w:t>
      </w:r>
      <w:r w:rsidRPr="0093119D">
        <w:rPr>
          <w:rFonts w:ascii="TimesNewRomanPSMT" w:hAnsi="TimesNewRomanPSMT" w:cs="TimesNewRomanPSMT"/>
          <w:sz w:val="24"/>
          <w:szCs w:val="24"/>
        </w:rPr>
        <w:t xml:space="preserve"> (с изм. и доп., вступ. в силу с 01.01.2015)</w:t>
      </w:r>
      <w:r>
        <w:rPr>
          <w:rFonts w:ascii="TimesNewRomanPSMT" w:hAnsi="TimesNewRomanPSMT" w:cs="TimesNewRomanPSMT"/>
          <w:sz w:val="24"/>
          <w:szCs w:val="24"/>
        </w:rPr>
        <w:t xml:space="preserve"> КСП района рекомендует привести в соответствие наименование раздела «Культура и кинематография», указанного в Приложении № 5 к решению об исполнении бюджета</w:t>
      </w:r>
      <w:r w:rsidR="00FD3165">
        <w:rPr>
          <w:rFonts w:ascii="TimesNewRomanPSMT" w:hAnsi="TimesNewRomanPSMT" w:cs="TimesNewRomanPSMT"/>
          <w:sz w:val="24"/>
          <w:szCs w:val="24"/>
        </w:rPr>
        <w:t xml:space="preserve"> (указать «Культура, кинематография»)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0768EA">
        <w:rPr>
          <w:rFonts w:ascii="TimesNewRomanPSMT" w:hAnsi="TimesNewRomanPSMT" w:cs="TimesNewRomanPSMT"/>
          <w:sz w:val="24"/>
          <w:szCs w:val="24"/>
        </w:rPr>
        <w:lastRenderedPageBreak/>
        <w:t>Удельный вес расходов в 2014 году по разделам «Национальная оборона</w:t>
      </w:r>
      <w:r w:rsidR="00805617">
        <w:rPr>
          <w:rFonts w:ascii="TimesNewRomanPSMT" w:hAnsi="TimesNewRomanPSMT" w:cs="TimesNewRomanPSMT"/>
          <w:sz w:val="24"/>
          <w:szCs w:val="24"/>
        </w:rPr>
        <w:t>»</w:t>
      </w:r>
      <w:r w:rsidRPr="000768EA">
        <w:rPr>
          <w:rFonts w:ascii="TimesNewRomanPSMT" w:hAnsi="TimesNewRomanPSMT" w:cs="TimesNewRomanPSMT"/>
          <w:sz w:val="24"/>
          <w:szCs w:val="24"/>
        </w:rPr>
        <w:t xml:space="preserve">, «Жилищно-коммунальное хозяйство» и «Национальная экономика» в общем объеме расходов </w:t>
      </w:r>
      <w:r>
        <w:rPr>
          <w:rFonts w:ascii="TimesNewRomanPSMT" w:hAnsi="TimesNewRomanPSMT" w:cs="TimesNewRomanPSMT"/>
          <w:sz w:val="24"/>
          <w:szCs w:val="24"/>
        </w:rPr>
        <w:t xml:space="preserve">составил </w:t>
      </w:r>
      <w:r w:rsidRPr="000768EA">
        <w:rPr>
          <w:rFonts w:ascii="TimesNewRomanPSMT" w:hAnsi="TimesNewRomanPSMT" w:cs="TimesNewRomanPSMT"/>
          <w:sz w:val="24"/>
          <w:szCs w:val="24"/>
        </w:rPr>
        <w:t>менее пяти процентов. Уменьшение расходов по сравнению с 2013 годом произошло по разделам «Нац</w:t>
      </w:r>
      <w:r>
        <w:rPr>
          <w:rFonts w:ascii="TimesNewRomanPSMT" w:hAnsi="TimesNewRomanPSMT" w:cs="TimesNewRomanPSMT"/>
          <w:sz w:val="24"/>
          <w:szCs w:val="24"/>
        </w:rPr>
        <w:t>иональная экономика»  на 48,5 %, «Жилищно-коммунальное хозяйство» на 68,4 %, в связи с уменьшением объема субсидий, выделяемых бюджету поселения.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Наиболее наглядно исполнение бюджета поселения по расходам отражено в графике на рисунке № 3.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5C3" w:rsidRPr="000768EA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165C3" w:rsidRPr="002D648B" w:rsidRDefault="00E165C3" w:rsidP="00E165C3">
      <w:pPr>
        <w:pStyle w:val="a6"/>
        <w:spacing w:line="276" w:lineRule="auto"/>
        <w:ind w:firstLine="708"/>
      </w:pPr>
      <w:r w:rsidRPr="002D648B">
        <w:t>Анализ исполнения расходов бюджета по разделам бюджетной классификации показал следующее:</w:t>
      </w:r>
    </w:p>
    <w:p w:rsidR="00E165C3" w:rsidRDefault="00E165C3" w:rsidP="00E165C3">
      <w:pPr>
        <w:pStyle w:val="a6"/>
        <w:ind w:firstLine="709"/>
        <w:rPr>
          <w:bCs/>
        </w:rPr>
      </w:pPr>
      <w:r w:rsidRPr="002D648B">
        <w:t xml:space="preserve">Бюджетные расходы по разделу </w:t>
      </w:r>
      <w:r w:rsidRPr="002D648B">
        <w:rPr>
          <w:b/>
          <w:i/>
        </w:rPr>
        <w:t>«</w:t>
      </w:r>
      <w:r w:rsidRPr="00DB6B68">
        <w:rPr>
          <w:i/>
        </w:rPr>
        <w:t xml:space="preserve">Общегосударственные вопросы» </w:t>
      </w:r>
      <w:r w:rsidRPr="002D648B">
        <w:t xml:space="preserve">составили </w:t>
      </w:r>
      <w:r>
        <w:t>5 479</w:t>
      </w:r>
      <w:r w:rsidRPr="002D648B">
        <w:t xml:space="preserve"> тыс.</w:t>
      </w:r>
      <w:r>
        <w:t xml:space="preserve"> </w:t>
      </w:r>
      <w:r w:rsidRPr="002D648B">
        <w:t>руб</w:t>
      </w:r>
      <w:r w:rsidR="000E5FAC">
        <w:t>лей</w:t>
      </w:r>
      <w:r w:rsidRPr="002D648B">
        <w:t xml:space="preserve"> или </w:t>
      </w:r>
      <w:r>
        <w:t>99</w:t>
      </w:r>
      <w:r w:rsidRPr="002D648B">
        <w:t xml:space="preserve">% от плановых расходов. В ходе исполнения бюджета плановые ассигнования по данному разделу были увеличены на </w:t>
      </w:r>
      <w:r>
        <w:t>33,9</w:t>
      </w:r>
      <w:r w:rsidRPr="002D648B">
        <w:t xml:space="preserve">% или на </w:t>
      </w:r>
      <w:r>
        <w:t>1 388,4</w:t>
      </w:r>
      <w:r w:rsidRPr="002D648B">
        <w:t xml:space="preserve"> тыс.</w:t>
      </w:r>
      <w:r>
        <w:t xml:space="preserve"> </w:t>
      </w:r>
      <w:r w:rsidRPr="002D648B">
        <w:t>руб</w:t>
      </w:r>
      <w:r>
        <w:t>лей</w:t>
      </w:r>
      <w:r w:rsidRPr="002D648B">
        <w:t xml:space="preserve"> к первоначальному плану.</w:t>
      </w:r>
      <w:r w:rsidRPr="002D648B">
        <w:rPr>
          <w:bCs/>
        </w:rPr>
        <w:t xml:space="preserve"> </w:t>
      </w:r>
    </w:p>
    <w:p w:rsidR="00E165C3" w:rsidRPr="002D648B" w:rsidRDefault="00E165C3" w:rsidP="00E165C3">
      <w:pPr>
        <w:pStyle w:val="a6"/>
        <w:ind w:firstLine="709"/>
        <w:rPr>
          <w:bCs/>
        </w:rPr>
      </w:pPr>
      <w:r>
        <w:rPr>
          <w:bCs/>
        </w:rPr>
        <w:t xml:space="preserve">Расходы на </w:t>
      </w:r>
      <w:r w:rsidR="00E73225">
        <w:rPr>
          <w:bCs/>
        </w:rPr>
        <w:t>содержание главы МО и специалистов</w:t>
      </w:r>
      <w:r>
        <w:rPr>
          <w:bCs/>
        </w:rPr>
        <w:t xml:space="preserve"> администрации исполнены в сумме 4 938,76 тыс. рублей или 100%.</w:t>
      </w:r>
    </w:p>
    <w:p w:rsidR="00E165C3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48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D648B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 на 01.01.2014 года </w:t>
      </w:r>
      <w:r w:rsidRPr="002D648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D648B">
        <w:rPr>
          <w:rFonts w:ascii="Times New Roman" w:hAnsi="Times New Roman" w:cs="Times New Roman"/>
          <w:sz w:val="24"/>
          <w:szCs w:val="24"/>
        </w:rPr>
        <w:t xml:space="preserve"> год составила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D648B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>
        <w:rPr>
          <w:rFonts w:ascii="Times New Roman" w:hAnsi="Times New Roman" w:cs="Times New Roman"/>
          <w:sz w:val="24"/>
          <w:szCs w:val="24"/>
        </w:rPr>
        <w:t>, по состоянию на 03.10.2014 года – 18,5 штатных единиц.</w:t>
      </w:r>
      <w:r w:rsidRPr="002D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C3" w:rsidRDefault="00E165C3" w:rsidP="00E165C3">
      <w:pPr>
        <w:pStyle w:val="a6"/>
        <w:ind w:firstLine="708"/>
      </w:pPr>
      <w:r w:rsidRPr="00A0678A"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>
        <w:t xml:space="preserve">исполнительно-распорядительного органа муниципального образования) в Иркутской области, </w:t>
      </w:r>
      <w:r w:rsidRPr="00A0678A">
        <w:t>утвержден</w:t>
      </w:r>
      <w:r>
        <w:t>ными</w:t>
      </w:r>
      <w:r w:rsidRPr="00A0678A">
        <w:t xml:space="preserve"> Приказом министерства экономического развития</w:t>
      </w:r>
      <w:r>
        <w:t xml:space="preserve"> и промышленности</w:t>
      </w:r>
      <w:r w:rsidRPr="00A0678A">
        <w:t xml:space="preserve"> Иркутской области от </w:t>
      </w:r>
      <w:r>
        <w:t>28</w:t>
      </w:r>
      <w:r w:rsidRPr="00A0678A">
        <w:t>.1</w:t>
      </w:r>
      <w:r>
        <w:t>1</w:t>
      </w:r>
      <w:r w:rsidRPr="00A0678A">
        <w:t>.20</w:t>
      </w:r>
      <w:r>
        <w:t>12</w:t>
      </w:r>
      <w:r w:rsidRPr="00A0678A">
        <w:t xml:space="preserve"> года № </w:t>
      </w:r>
      <w:r>
        <w:t>57</w:t>
      </w:r>
      <w:r w:rsidRPr="00A0678A">
        <w:t>-мпр</w:t>
      </w:r>
      <w:r>
        <w:t xml:space="preserve">, </w:t>
      </w:r>
      <w:r w:rsidRPr="00A0678A">
        <w:t>не превышен</w:t>
      </w:r>
      <w:r>
        <w:t>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переданным полномочиям исполнены в сумме 512</w:t>
      </w:r>
      <w:r w:rsidRPr="003B29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другие общегосударственные вопросы – 28 тыс. рублей</w:t>
      </w:r>
    </w:p>
    <w:p w:rsidR="00E165C3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</w:t>
      </w:r>
      <w:r w:rsidRPr="00DB6B68">
        <w:rPr>
          <w:rFonts w:ascii="Times New Roman" w:hAnsi="Times New Roman" w:cs="Times New Roman"/>
          <w:i/>
          <w:sz w:val="24"/>
          <w:szCs w:val="24"/>
        </w:rPr>
        <w:t>«Национальная оборона»</w:t>
      </w:r>
      <w:r w:rsidRPr="00C214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sz w:val="24"/>
          <w:szCs w:val="24"/>
        </w:rPr>
        <w:t>исполнены в сумме 79,6 тыс. руб</w:t>
      </w:r>
      <w:r w:rsidR="00645D9F">
        <w:rPr>
          <w:rFonts w:ascii="Times New Roman" w:hAnsi="Times New Roman" w:cs="Times New Roman"/>
          <w:sz w:val="24"/>
          <w:szCs w:val="24"/>
        </w:rPr>
        <w:t>лей</w:t>
      </w:r>
      <w:r w:rsidRPr="00C2149D">
        <w:rPr>
          <w:rFonts w:ascii="Times New Roman" w:hAnsi="Times New Roman" w:cs="Times New Roman"/>
          <w:sz w:val="24"/>
          <w:szCs w:val="24"/>
        </w:rPr>
        <w:t xml:space="preserve"> или 100 % к плану и были направлены на осуществление первичного воинского учета на территории муниципального образования.</w:t>
      </w:r>
    </w:p>
    <w:p w:rsidR="00E165C3" w:rsidRPr="00C2149D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Расходные обязательства местного бюджета по разделу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45D9F">
        <w:rPr>
          <w:rFonts w:ascii="Times New Roman" w:hAnsi="Times New Roman" w:cs="Times New Roman"/>
          <w:i/>
          <w:color w:val="000000"/>
          <w:sz w:val="24"/>
          <w:szCs w:val="24"/>
        </w:rPr>
        <w:t>Национальная экономика»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334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645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руб</w:t>
      </w:r>
      <w:r w:rsidR="00645D9F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% от плановых показателей на 201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165C3" w:rsidRPr="00C2149D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49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По подразделу «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Дорожные фонды (дорожное хозяйство)»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осуществлены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300,2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>% от плановых назначений)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израсходованы на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работ по ямочному ремонту дорог внутри Соцгородского СП согласно договорам гражданско-правого характера.</w:t>
      </w:r>
    </w:p>
    <w:p w:rsidR="00E165C3" w:rsidRPr="00465CD0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49D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подразделу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«Другие вопросы в области национальной экономики»</w:t>
      </w:r>
      <w:r w:rsidRPr="00C2149D">
        <w:rPr>
          <w:rFonts w:ascii="Times New Roman" w:hAnsi="Times New Roman" w:cs="Times New Roman"/>
          <w:color w:val="000000"/>
          <w:sz w:val="24"/>
          <w:szCs w:val="24"/>
        </w:rPr>
        <w:t xml:space="preserve">  бюджетные средства в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сумме 34,2 тыс. руб</w:t>
      </w:r>
      <w:r w:rsidR="00063616"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(100,0% от плановых назначений)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были направлены </w:t>
      </w:r>
      <w:r w:rsidR="000E5FAC">
        <w:rPr>
          <w:rFonts w:ascii="Times New Roman" w:hAnsi="Times New Roman" w:cs="Times New Roman"/>
          <w:sz w:val="24"/>
          <w:szCs w:val="24"/>
        </w:rPr>
        <w:t>на разработку документов территориального планирования и подготовки генерального плана Соцгородского СП.</w:t>
      </w:r>
    </w:p>
    <w:p w:rsidR="00E165C3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разделу </w:t>
      </w:r>
      <w:r w:rsidRPr="00DB6B68">
        <w:rPr>
          <w:rFonts w:ascii="Times New Roman" w:hAnsi="Times New Roman" w:cs="Times New Roman"/>
          <w:i/>
          <w:color w:val="000000"/>
          <w:sz w:val="24"/>
          <w:szCs w:val="24"/>
        </w:rPr>
        <w:t>«Жилищно-коммунальное хозяйство»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исполнены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>205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тыс.</w:t>
      </w:r>
      <w:r w:rsidR="00063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лей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465CD0">
        <w:rPr>
          <w:rFonts w:ascii="Times New Roman" w:hAnsi="Times New Roman" w:cs="Times New Roman"/>
          <w:color w:val="000000"/>
          <w:sz w:val="24"/>
          <w:szCs w:val="24"/>
        </w:rPr>
        <w:t>% от плановых назначений.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5CD0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В соответствии с определенными Федеральным законом от 06.10.2003 № 131-ФЗ «Об общих принципах организации местного самоуправления в Российской Федерации» вопросами местного значения, в муниципальном образовании осуществлялись расходы </w:t>
      </w:r>
      <w:r w:rsidRPr="00465C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 </w:t>
      </w:r>
      <w:r w:rsidR="000E5FA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оплату </w:t>
      </w:r>
      <w:r w:rsidRPr="00465CD0">
        <w:rPr>
          <w:rFonts w:ascii="Times New Roman" w:hAnsi="Times New Roman" w:cs="Times New Roman"/>
          <w:color w:val="000000"/>
          <w:spacing w:val="-4"/>
          <w:sz w:val="24"/>
          <w:szCs w:val="24"/>
        </w:rPr>
        <w:t>улично</w:t>
      </w:r>
      <w:r w:rsidR="000E5FA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</w:t>
      </w:r>
      <w:r w:rsidRPr="00465C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освещени</w:t>
      </w:r>
      <w:r w:rsidR="000E5FAC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сумме 178,3  тыс. рублей</w:t>
      </w:r>
      <w:r w:rsidRPr="00465C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выполнение работ по уборке мусора на территории поселения в сумме 26,7 тыс. рублей</w:t>
      </w:r>
      <w:r w:rsidRPr="00465CD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165C3" w:rsidRPr="00ED6ACB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color w:val="FF0000"/>
          <w:spacing w:val="-4"/>
          <w:sz w:val="28"/>
          <w:szCs w:val="28"/>
        </w:rPr>
        <w:t xml:space="preserve">      </w:t>
      </w:r>
      <w:r>
        <w:rPr>
          <w:color w:val="FF0000"/>
          <w:spacing w:val="-4"/>
          <w:sz w:val="28"/>
          <w:szCs w:val="28"/>
        </w:rPr>
        <w:tab/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Общая сумма расходов по разделу </w:t>
      </w:r>
      <w:r w:rsidRPr="00DB6B68">
        <w:rPr>
          <w:rFonts w:ascii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«Культура, кинематография»</w:t>
      </w:r>
      <w:r w:rsidRPr="00DB6B6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составила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2 986,2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тыс.</w:t>
      </w:r>
      <w:r w:rsidR="00E227B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руб</w:t>
      </w:r>
      <w:r w:rsidR="00E227BB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r w:rsidRPr="00ED6AC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(99% от плана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Наибольший объем бюджетных средств по указанному разделу направлен на исполнение расходов на оплату труда с начислениями (2 812,8 тыс. руб. или 99%). </w:t>
      </w:r>
      <w:r w:rsidRPr="00E73225">
        <w:rPr>
          <w:rFonts w:ascii="Times New Roman" w:hAnsi="Times New Roman" w:cs="Times New Roman"/>
          <w:sz w:val="24"/>
          <w:szCs w:val="24"/>
        </w:rPr>
        <w:t xml:space="preserve">Из Министерства культуры и архивов Иркутской области была получена субсидия </w:t>
      </w:r>
      <w:r w:rsidRPr="00E732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осуществление денежных выплат </w:t>
      </w:r>
      <w:r w:rsidR="00E73225" w:rsidRPr="00E7322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заработной плате и начислениям на нее</w:t>
      </w:r>
      <w:r w:rsidRPr="00E7322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работникам культуры в сумме 1 968,5 тыс. руб.,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средства местного бюджета исполнены в сумме 1 017,7 тыс. рублей. </w:t>
      </w:r>
      <w:r>
        <w:rPr>
          <w:rFonts w:ascii="Times New Roman" w:hAnsi="Times New Roman" w:cs="Times New Roman"/>
          <w:sz w:val="24"/>
          <w:szCs w:val="24"/>
        </w:rPr>
        <w:t xml:space="preserve">Расходы на оплату льготного проезда, коммунальные услуги, прочие услуги, приобретение материальных запасов исполнены  в сумме 172,8 тыс. руб. </w:t>
      </w:r>
    </w:p>
    <w:p w:rsidR="00E165C3" w:rsidRDefault="00E165C3" w:rsidP="00E165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165C3" w:rsidRDefault="00E165C3" w:rsidP="00E16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Анализ степени полноты бюджетной отчетности Соцгородского СП, ее соответствие требованиям нормативных правовых актов по составу и содержанию. Проверка внутренней согласованности форм бюджетной отчетности</w:t>
      </w:r>
    </w:p>
    <w:p w:rsidR="00E165C3" w:rsidRDefault="00E165C3" w:rsidP="00E16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5C3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По запросу КСП района </w:t>
      </w:r>
      <w:r w:rsidR="00EB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Соцгородского СП была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представлена консолидированн</w:t>
      </w:r>
      <w:r w:rsidR="005E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бухгалтерская отчетность по исполнению 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Соцгородского 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пояснительная записка к н</w:t>
      </w:r>
      <w:r w:rsidR="005E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составе 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форм, предусмотренны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7466" w:rsidRPr="00EB7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системы, утвержденной Приказом Минфина РФ от 28.12.2010 № 191н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Годовая отчетность подписана Главой поселения Романовым М.С. и ведущим специалистом Распутиной Л.Л., прошнурована и пронумерована.</w:t>
      </w:r>
    </w:p>
    <w:p w:rsidR="00E165C3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Согласно п. 7 Инструкции № 191н, перед составлением годовой бюджетной отчетности должна быть проведена инвентаризация активов и обязательств в установленном порядке. Кроме того, в соответствии со ст. 11 Федерального закона от 06.12.2011 № 402-ФЗ «О бухгалтерском учете», «Методическими указаниями по инвентаризации имущества и финансовых обязательств», утвержденных приказом Минфина РФ от 13.01.1995 № 49, проведение инвентаризации обязательно перед составлением годовой бухгалтерской отчетности (кроме имущества, инвентаризация котор</w:t>
      </w:r>
      <w:r w:rsidR="005E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проводилась не ранее 1 октября отчетного года). Вместе с этим, Контрольно-счетной палате  Администрацией поселения и  МКУК «Фортуна» были представлены инвентаризационные описи, датированные 26 марта 2015 года, при этом сроки проведения инвентаризации товароматериальных ценностей, обязательств</w:t>
      </w:r>
      <w:r w:rsidR="00063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</w:t>
      </w:r>
      <w:r w:rsidR="00063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</w:t>
      </w:r>
      <w:r w:rsidR="00063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Распоряжениях Администрации поселения о проведении инвентаризации с 12.01.2015г. по 16.01.2015г. В связи с тем, </w:t>
      </w:r>
      <w:r w:rsidR="00E73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п.3 Инструкции № 191н отчетным периодом является календарный год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E732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января по 31 декабря 2014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результаты инвентаризации Администраци</w:t>
      </w:r>
      <w:r w:rsidR="00063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Соцгородского СП и учреждени</w:t>
      </w:r>
      <w:r w:rsidR="00063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культуры, не могут быть приняты к учету. Таким образом, достоверность годовой бюджетной отчетности не подтверждена результатами инвентаризации имущества и финансовых обязательств.</w:t>
      </w:r>
    </w:p>
    <w:p w:rsidR="00E165C3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показала, что показатели кассового исполнения доходов и расходов бюджета сельского поселения, источников финансирования дефицита бюджета, отраженные в форме 0503</w:t>
      </w:r>
      <w:r w:rsidR="0003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 «Отчет об исполнении бюджета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Pr="00405A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соответствуют показателям ведомости кассовых поступлений и выбытий, представ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ленной УФК по Иркутской области.</w:t>
      </w:r>
    </w:p>
    <w:p w:rsidR="00E165C3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C1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тем, в ходе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экспертно-аналитического мероприятия </w:t>
      </w:r>
      <w:r w:rsidRPr="00C16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о:</w:t>
      </w:r>
    </w:p>
    <w:p w:rsidR="00E165C3" w:rsidRPr="00174365" w:rsidRDefault="00E165C3" w:rsidP="00E16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Справке о наличии имущества и обязательств на забалансовых счетах  ф. 0503130 Баланса на 2014 год не отражены показатели по учету имущества по счетам: 09 «</w:t>
      </w:r>
      <w:r>
        <w:rPr>
          <w:rFonts w:ascii="Times New Roman" w:hAnsi="Times New Roman" w:cs="Times New Roman"/>
          <w:sz w:val="24"/>
          <w:szCs w:val="24"/>
        </w:rPr>
        <w:t>Запасные части к транспортным средствам, выданные взамен изношенных» на сумму 31 190 руб</w:t>
      </w:r>
      <w:r w:rsidR="005E3DDC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 21 «Основные средства стоимостью до 3000 рублей включительно в эксплуатации» на сумму 114 806 руб</w:t>
      </w:r>
      <w:r w:rsidR="005E3DDC">
        <w:rPr>
          <w:rFonts w:ascii="Times New Roman" w:hAnsi="Times New Roman" w:cs="Times New Roman"/>
          <w:sz w:val="24"/>
          <w:szCs w:val="24"/>
        </w:rPr>
        <w:t>лей.</w:t>
      </w:r>
    </w:p>
    <w:p w:rsidR="00E165C3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Представленная Пояснительная записка в составе годовой консолидированной бюджетной отчетности не в полной мере соответствует требованиям Инструкции № 191н:</w:t>
      </w:r>
    </w:p>
    <w:p w:rsidR="00E165C3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представлены формы, являющиеся неотъемлемой частью Пояснительной записки (Таблица № 5, Таблица № 6, Таблица № 7, ф. 0503161, ф. 0503163, ф. 0503164).</w:t>
      </w:r>
    </w:p>
    <w:p w:rsidR="00E165C3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Кредиторская задолженность бюджета Соцгородского СП за 2014 год по отношению к 01.01.2014г. увеличилась на 74,84% и составила на 01.01.2015г. – 688 517,74 руб</w:t>
      </w:r>
      <w:r w:rsidR="005E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01.01.2014г. – 393 806,89 руб</w:t>
      </w:r>
      <w:r w:rsidR="005E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Кредиторская задолженность является текущей.</w:t>
      </w:r>
    </w:p>
    <w:p w:rsidR="00E165C3" w:rsidRDefault="00E165C3" w:rsidP="00E165C3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Д</w:t>
      </w:r>
      <w:r w:rsidRPr="00F12606">
        <w:rPr>
          <w:rFonts w:ascii="Times New Roman" w:hAnsi="Times New Roman" w:cs="Times New Roman"/>
          <w:sz w:val="24"/>
          <w:szCs w:val="24"/>
        </w:rPr>
        <w:t xml:space="preserve">ебиторская задолженность составила </w:t>
      </w:r>
      <w:r>
        <w:rPr>
          <w:rFonts w:ascii="Times New Roman" w:hAnsi="Times New Roman" w:cs="Times New Roman"/>
          <w:sz w:val="24"/>
          <w:szCs w:val="24"/>
        </w:rPr>
        <w:t xml:space="preserve">4 459,1 </w:t>
      </w:r>
      <w:r w:rsidRPr="00F12606">
        <w:rPr>
          <w:rFonts w:ascii="Times New Roman" w:hAnsi="Times New Roman" w:cs="Times New Roman"/>
          <w:sz w:val="24"/>
          <w:szCs w:val="24"/>
        </w:rPr>
        <w:t>руб</w:t>
      </w:r>
      <w:r w:rsidR="005E3DDC">
        <w:rPr>
          <w:rFonts w:ascii="Times New Roman" w:hAnsi="Times New Roman" w:cs="Times New Roman"/>
          <w:sz w:val="24"/>
          <w:szCs w:val="24"/>
        </w:rPr>
        <w:t>лей.</w:t>
      </w:r>
      <w:r w:rsidRPr="00F12606">
        <w:rPr>
          <w:rFonts w:ascii="Times New Roman" w:hAnsi="Times New Roman" w:cs="Times New Roman"/>
          <w:sz w:val="24"/>
          <w:szCs w:val="24"/>
        </w:rPr>
        <w:t xml:space="preserve"> Данные дебиторской и кредиторской задолженности, отраженные в ф.0503169 соответствуют показателям, указанным в Балансе (ф. 0503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F1260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3DDC" w:rsidRDefault="005E3DDC" w:rsidP="00E165C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65C3" w:rsidRDefault="00E165C3" w:rsidP="00E165C3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7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верка правильности составления </w:t>
      </w:r>
      <w:r w:rsidRPr="007A7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бюджетных смет</w:t>
      </w:r>
    </w:p>
    <w:p w:rsidR="00E165C3" w:rsidRDefault="00E165C3" w:rsidP="00E16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65C3" w:rsidRPr="00922831" w:rsidRDefault="00E165C3" w:rsidP="00E165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221 БК РФ бюджетная смета казенного учреждения составляется и ведется в порядке, определенном главным распорядителем бюджетных средств. Соответствующий порядок разработан и утвержден </w:t>
      </w:r>
      <w:r>
        <w:rPr>
          <w:rFonts w:ascii="Times New Roman" w:eastAsia="Calibri" w:hAnsi="Times New Roman" w:cs="Times New Roman"/>
          <w:sz w:val="24"/>
          <w:szCs w:val="24"/>
        </w:rPr>
        <w:t>Распоряжением Администрации Соцгород</w:t>
      </w:r>
      <w:r w:rsidR="00E227B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кого СП от 31.03.2013 № 10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составления, утверждения и ведения бюджетн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 смет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Администрации Соцгородского сельского поселения Нижнеилимского района и подведомственного казенного учреждения</w:t>
      </w:r>
      <w:r w:rsidRPr="00922831">
        <w:rPr>
          <w:rFonts w:ascii="Times New Roman" w:eastAsia="Calibri" w:hAnsi="Times New Roman" w:cs="Times New Roman"/>
          <w:sz w:val="24"/>
          <w:szCs w:val="24"/>
        </w:rPr>
        <w:t xml:space="preserve">».     </w:t>
      </w:r>
    </w:p>
    <w:p w:rsidR="00E165C3" w:rsidRPr="00361FA9" w:rsidRDefault="00E165C3" w:rsidP="00E16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FA9">
        <w:rPr>
          <w:rFonts w:ascii="Times New Roman" w:hAnsi="Times New Roman" w:cs="Times New Roman"/>
          <w:sz w:val="24"/>
          <w:szCs w:val="24"/>
        </w:rPr>
        <w:t xml:space="preserve">  </w:t>
      </w:r>
      <w:r w:rsidRPr="00361F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61FA9">
        <w:rPr>
          <w:rFonts w:ascii="Times New Roman" w:hAnsi="Times New Roman" w:cs="Times New Roman"/>
          <w:sz w:val="24"/>
          <w:szCs w:val="24"/>
          <w:shd w:val="clear" w:color="auto" w:fill="FAFAF8"/>
        </w:rPr>
        <w:t xml:space="preserve">Утвержденные </w:t>
      </w:r>
      <w:r w:rsidRPr="00361FA9">
        <w:rPr>
          <w:rFonts w:ascii="Times New Roman" w:hAnsi="Times New Roman" w:cs="Times New Roman"/>
          <w:sz w:val="24"/>
          <w:szCs w:val="24"/>
        </w:rPr>
        <w:t xml:space="preserve">показатели бюджетной сметы на 2014 год, уточненной бюджетной сметы на 2014 год соответствуют </w:t>
      </w:r>
      <w:r>
        <w:rPr>
          <w:rFonts w:ascii="Times New Roman" w:hAnsi="Times New Roman" w:cs="Times New Roman"/>
          <w:sz w:val="24"/>
          <w:szCs w:val="24"/>
        </w:rPr>
        <w:t>утвержденным</w:t>
      </w:r>
      <w:r w:rsidRPr="00361FA9">
        <w:rPr>
          <w:rFonts w:ascii="Times New Roman" w:hAnsi="Times New Roman" w:cs="Times New Roman"/>
          <w:sz w:val="24"/>
          <w:szCs w:val="24"/>
        </w:rPr>
        <w:t xml:space="preserve"> лимитам бюджетных обязательств</w:t>
      </w:r>
      <w:r w:rsidR="00063616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361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C3" w:rsidRPr="00405A1A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5C3" w:rsidRPr="000A4E60" w:rsidRDefault="00E165C3" w:rsidP="00E16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Организация финансового контроля в муниципальном образовании</w:t>
      </w:r>
    </w:p>
    <w:p w:rsidR="00E165C3" w:rsidRPr="000A4E60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65C3" w:rsidRPr="000A4E60" w:rsidRDefault="00E165C3" w:rsidP="00E165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оценке состояния внутриведомс</w:t>
      </w:r>
      <w:r w:rsidR="000636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0A4E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венного финансового контроля установлено, что в нарушении ст. 269 БК РФ, Администрацией Соцгородского СП не проводилась работа по осуществлению финансового контроля, в том числе текущего в части обеспечения правомерного, целевого, эффективного использования бюджетных средств. </w:t>
      </w:r>
    </w:p>
    <w:p w:rsidR="00E165C3" w:rsidRPr="000A4E60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</w:p>
    <w:p w:rsidR="00E165C3" w:rsidRPr="00CC54F4" w:rsidRDefault="00E165C3" w:rsidP="00E165C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E60">
        <w:rPr>
          <w:color w:val="000000" w:themeColor="text1"/>
          <w:sz w:val="28"/>
          <w:szCs w:val="28"/>
        </w:rPr>
        <w:t xml:space="preserve"> </w:t>
      </w:r>
      <w:r w:rsidRPr="00CC54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предложения:</w:t>
      </w:r>
    </w:p>
    <w:p w:rsidR="00E165C3" w:rsidRDefault="00E165C3" w:rsidP="00E16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Проект решения Думы Соцгородского сельского поселения «Отчет об исполнении бюджета Соцгородского сельского поселения МО за 2014 год» отражает достоверно кассовое исполнение доходов, расходов за период с 01.01.2014г. по 31.12.2014г.</w:t>
      </w:r>
    </w:p>
    <w:p w:rsidR="00E165C3" w:rsidRDefault="00E165C3" w:rsidP="00E16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 изменяя мнения о достоверности отчетности Контрольно-счетная палата Нижнеилимского муниципального района обращает внимание на необходимость проведения работы участниками бюджетного процесса по соблюдению требований бюджетного законодательства при исполнении бюджета Соцгородского сельского поселения, надлежащему ведению бюджетного учета и качественному составлению бюджетной отчетности.</w:t>
      </w:r>
    </w:p>
    <w:p w:rsidR="00E165C3" w:rsidRPr="00240374" w:rsidRDefault="00E165C3" w:rsidP="00E165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Необходимо обратить внимание, что замечания к составлению бюджетной отчетности, выявленные отдельными нарушениями требований Инструкции № 191н, носят технический и аналитический характер и являются основанием для принятия указанных замечаний к сведению с целью повышения качества предоставляемой бюджетной отчетности, а также годового отчета об исполнении бюджета муниципального образования.</w:t>
      </w:r>
    </w:p>
    <w:p w:rsidR="00E165C3" w:rsidRPr="00BB58DA" w:rsidRDefault="00E165C3" w:rsidP="00E1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pacing w:val="-4"/>
          <w:sz w:val="28"/>
          <w:szCs w:val="28"/>
        </w:rPr>
        <w:tab/>
      </w:r>
      <w:r w:rsidRPr="00BB58DA">
        <w:rPr>
          <w:rFonts w:ascii="Times New Roman" w:hAnsi="Times New Roman" w:cs="Times New Roman"/>
          <w:sz w:val="24"/>
          <w:szCs w:val="24"/>
        </w:rPr>
        <w:t xml:space="preserve">На основании изложенного, Контрольно-счётная палата </w:t>
      </w:r>
      <w:r>
        <w:rPr>
          <w:rFonts w:ascii="Times New Roman" w:hAnsi="Times New Roman" w:cs="Times New Roman"/>
          <w:sz w:val="24"/>
          <w:szCs w:val="24"/>
        </w:rPr>
        <w:t xml:space="preserve">Нижнеилимского </w:t>
      </w:r>
      <w:r w:rsidRPr="00BB58D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B58DA">
        <w:rPr>
          <w:rFonts w:ascii="Times New Roman" w:hAnsi="Times New Roman" w:cs="Times New Roman"/>
          <w:sz w:val="24"/>
          <w:szCs w:val="24"/>
        </w:rPr>
        <w:t xml:space="preserve"> рекомендует:</w:t>
      </w:r>
    </w:p>
    <w:p w:rsidR="00E165C3" w:rsidRPr="00BB58DA" w:rsidRDefault="00E165C3" w:rsidP="00E1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8DA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Думе Соцгородского сельского поселения</w:t>
      </w:r>
      <w:r w:rsidRPr="00BB58DA">
        <w:rPr>
          <w:rFonts w:ascii="Times New Roman" w:hAnsi="Times New Roman" w:cs="Times New Roman"/>
          <w:sz w:val="24"/>
          <w:szCs w:val="24"/>
        </w:rPr>
        <w:t xml:space="preserve"> принять решение об утверждении отчёта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Соцгородского СП</w:t>
      </w:r>
      <w:r w:rsidRPr="00BB58DA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58DA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165C3" w:rsidRPr="00BB58DA" w:rsidRDefault="00E165C3" w:rsidP="00E165C3">
      <w:pPr>
        <w:pStyle w:val="a4"/>
        <w:spacing w:after="0"/>
        <w:jc w:val="both"/>
      </w:pPr>
      <w:r w:rsidRPr="00BB58DA">
        <w:rPr>
          <w:color w:val="FF0000"/>
        </w:rPr>
        <w:tab/>
      </w:r>
      <w:r w:rsidRPr="00BB58DA">
        <w:t xml:space="preserve">- Администрации </w:t>
      </w:r>
      <w:r>
        <w:t>Соцгородского сельского</w:t>
      </w:r>
      <w:r w:rsidRPr="00BB58DA">
        <w:t xml:space="preserve"> поселения:</w:t>
      </w:r>
    </w:p>
    <w:p w:rsidR="00E165C3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B58D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B58DA">
        <w:rPr>
          <w:rFonts w:ascii="Times New Roman" w:hAnsi="Times New Roman" w:cs="Times New Roman"/>
          <w:sz w:val="24"/>
          <w:szCs w:val="24"/>
        </w:rPr>
        <w:t>1.</w:t>
      </w:r>
      <w:r w:rsidRPr="00BB58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3DDC">
        <w:rPr>
          <w:rFonts w:ascii="Times New Roman" w:hAnsi="Times New Roman" w:cs="Times New Roman"/>
          <w:sz w:val="24"/>
          <w:szCs w:val="24"/>
        </w:rPr>
        <w:t>осуществлять с</w:t>
      </w:r>
      <w:r w:rsidRPr="00BB58DA">
        <w:rPr>
          <w:rFonts w:ascii="Times New Roman" w:hAnsi="Times New Roman" w:cs="Times New Roman"/>
          <w:sz w:val="24"/>
          <w:szCs w:val="24"/>
        </w:rPr>
        <w:t xml:space="preserve">оставление бюджетной отчетности в соответствии с требованиями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 от  28.12.2010 № 191н, в </w:t>
      </w:r>
      <w:r w:rsidRPr="00BB58DA">
        <w:rPr>
          <w:rFonts w:ascii="Times New Roman" w:hAnsi="Times New Roman" w:cs="Times New Roman"/>
          <w:sz w:val="24"/>
          <w:szCs w:val="24"/>
        </w:rPr>
        <w:lastRenderedPageBreak/>
        <w:t>части состава и полноты отражения данных и результатов деятельности в пояснительной записке, и заполнение всех форм пояснительной записки</w:t>
      </w:r>
      <w:r w:rsidR="005E3DDC">
        <w:rPr>
          <w:rFonts w:ascii="Times New Roman" w:hAnsi="Times New Roman" w:cs="Times New Roman"/>
          <w:sz w:val="24"/>
          <w:szCs w:val="24"/>
        </w:rPr>
        <w:t>;</w:t>
      </w:r>
      <w:r w:rsidRPr="00BB58D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165C3" w:rsidRDefault="00E165C3" w:rsidP="00E1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174365">
        <w:rPr>
          <w:rFonts w:ascii="Times New Roman" w:hAnsi="Times New Roman" w:cs="Times New Roman"/>
          <w:sz w:val="24"/>
          <w:szCs w:val="24"/>
        </w:rPr>
        <w:t xml:space="preserve">2. </w:t>
      </w:r>
      <w:r w:rsidR="005E3DDC">
        <w:rPr>
          <w:rFonts w:ascii="Times New Roman" w:hAnsi="Times New Roman" w:cs="Times New Roman"/>
          <w:sz w:val="24"/>
          <w:szCs w:val="24"/>
        </w:rPr>
        <w:t>о</w:t>
      </w:r>
      <w:r w:rsidRPr="007E0F7E">
        <w:rPr>
          <w:rFonts w:ascii="Times New Roman" w:hAnsi="Times New Roman" w:cs="Times New Roman"/>
          <w:sz w:val="24"/>
          <w:szCs w:val="24"/>
        </w:rPr>
        <w:t>беспечить соблюдение порядка составления и  предоставления отчетности в соответствии с действующим законодательством, усилить  контроль за качеством бюджетной и бухгалтерской отчетности подведомственн</w:t>
      </w:r>
      <w:r>
        <w:rPr>
          <w:rFonts w:ascii="Times New Roman" w:hAnsi="Times New Roman" w:cs="Times New Roman"/>
          <w:sz w:val="24"/>
          <w:szCs w:val="24"/>
        </w:rPr>
        <w:t>ого учреждения</w:t>
      </w:r>
      <w:r w:rsidR="005E3DDC">
        <w:rPr>
          <w:rFonts w:ascii="Times New Roman" w:hAnsi="Times New Roman" w:cs="Times New Roman"/>
          <w:sz w:val="24"/>
          <w:szCs w:val="24"/>
        </w:rPr>
        <w:t>;</w:t>
      </w:r>
    </w:p>
    <w:p w:rsidR="00E165C3" w:rsidRPr="00174365" w:rsidRDefault="005E3DDC" w:rsidP="00E16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="00E165C3" w:rsidRPr="007E0F7E">
        <w:rPr>
          <w:rFonts w:ascii="Times New Roman" w:hAnsi="Times New Roman" w:cs="Times New Roman"/>
          <w:sz w:val="24"/>
          <w:szCs w:val="24"/>
        </w:rPr>
        <w:t>беспечить соблюдение требований законодательства о проведении обязательной инвентаризации имущества и финансовых обязательств (в т.ч. отраженных на забалансовых счетах) перед составлением годовой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65C3" w:rsidRDefault="00E165C3" w:rsidP="003D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8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790">
        <w:rPr>
          <w:rFonts w:ascii="Times New Roman" w:hAnsi="Times New Roman" w:cs="Times New Roman"/>
          <w:sz w:val="24"/>
          <w:szCs w:val="24"/>
        </w:rPr>
        <w:t>4</w:t>
      </w:r>
      <w:r w:rsidRPr="00BB58DA">
        <w:rPr>
          <w:rFonts w:ascii="Times New Roman" w:hAnsi="Times New Roman" w:cs="Times New Roman"/>
          <w:sz w:val="24"/>
          <w:szCs w:val="24"/>
        </w:rPr>
        <w:t>.</w:t>
      </w:r>
      <w:r w:rsidR="005E3DDC">
        <w:rPr>
          <w:rFonts w:ascii="Times New Roman" w:hAnsi="Times New Roman" w:cs="Times New Roman"/>
          <w:sz w:val="24"/>
          <w:szCs w:val="24"/>
        </w:rPr>
        <w:t xml:space="preserve"> п</w:t>
      </w:r>
      <w:r w:rsidRPr="00BB58DA">
        <w:rPr>
          <w:rFonts w:ascii="Times New Roman" w:hAnsi="Times New Roman" w:cs="Times New Roman"/>
          <w:sz w:val="24"/>
          <w:szCs w:val="24"/>
        </w:rPr>
        <w:t xml:space="preserve">ровести работу по оптимизации расходов местного бюджета путем проведения инвентаризации </w:t>
      </w:r>
      <w:r w:rsidR="005E3DDC">
        <w:rPr>
          <w:rFonts w:ascii="Times New Roman" w:hAnsi="Times New Roman" w:cs="Times New Roman"/>
          <w:sz w:val="24"/>
          <w:szCs w:val="24"/>
        </w:rPr>
        <w:t>р</w:t>
      </w:r>
      <w:r w:rsidRPr="00BB58DA">
        <w:rPr>
          <w:rFonts w:ascii="Times New Roman" w:hAnsi="Times New Roman" w:cs="Times New Roman"/>
          <w:sz w:val="24"/>
          <w:szCs w:val="24"/>
        </w:rPr>
        <w:t>еестра расходных обязательств для выявления расходных обязательств, имеющих недостаточное нормативно-правовое и финансовое обеспечение.</w:t>
      </w: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C3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C3" w:rsidRPr="00BB58DA" w:rsidRDefault="00E165C3" w:rsidP="00E16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C3" w:rsidRPr="00174365" w:rsidRDefault="00E165C3" w:rsidP="00E165C3">
      <w:pPr>
        <w:tabs>
          <w:tab w:val="left" w:pos="495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Инспектор КСП </w:t>
      </w:r>
    </w:p>
    <w:p w:rsidR="00E165C3" w:rsidRPr="00174365" w:rsidRDefault="00E165C3" w:rsidP="00E165C3">
      <w:pPr>
        <w:tabs>
          <w:tab w:val="left" w:pos="495"/>
          <w:tab w:val="left" w:pos="8310"/>
        </w:tabs>
        <w:spacing w:after="0" w:line="240" w:lineRule="auto"/>
        <w:ind w:right="-18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Нижнеилимского муниципального района</w:t>
      </w:r>
      <w:r w:rsidRPr="00174365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Цепляева А.Р.</w:t>
      </w:r>
    </w:p>
    <w:p w:rsidR="00E165C3" w:rsidRPr="00174365" w:rsidRDefault="00E165C3" w:rsidP="00E165C3">
      <w:pPr>
        <w:ind w:right="-185"/>
        <w:jc w:val="center"/>
        <w:rPr>
          <w:color w:val="000000"/>
          <w:spacing w:val="-4"/>
          <w:sz w:val="28"/>
          <w:szCs w:val="28"/>
        </w:rPr>
      </w:pPr>
    </w:p>
    <w:p w:rsidR="00E165C3" w:rsidRDefault="00E165C3" w:rsidP="00E165C3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E165C3" w:rsidRDefault="00E165C3" w:rsidP="00E165C3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E165C3" w:rsidRDefault="00E165C3" w:rsidP="00E165C3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E165C3" w:rsidRDefault="00E165C3" w:rsidP="00E165C3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E165C3" w:rsidRDefault="00E165C3" w:rsidP="00E165C3">
      <w:pPr>
        <w:ind w:right="-185"/>
        <w:jc w:val="center"/>
        <w:rPr>
          <w:b/>
          <w:color w:val="000000"/>
          <w:spacing w:val="-4"/>
          <w:sz w:val="28"/>
          <w:szCs w:val="28"/>
        </w:rPr>
      </w:pPr>
    </w:p>
    <w:p w:rsidR="00520DA4" w:rsidRDefault="00520DA4"/>
    <w:sectPr w:rsidR="00520DA4" w:rsidSect="00EB7466">
      <w:footerReference w:type="default" r:id="rId11"/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C4" w:rsidRDefault="00AD52C4" w:rsidP="00E165C3">
      <w:pPr>
        <w:spacing w:after="0" w:line="240" w:lineRule="auto"/>
      </w:pPr>
      <w:r>
        <w:separator/>
      </w:r>
    </w:p>
  </w:endnote>
  <w:endnote w:type="continuationSeparator" w:id="1">
    <w:p w:rsidR="00AD52C4" w:rsidRDefault="00AD52C4" w:rsidP="00E1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98497"/>
      <w:docPartObj>
        <w:docPartGallery w:val="Page Numbers (Bottom of Page)"/>
        <w:docPartUnique/>
      </w:docPartObj>
    </w:sdtPr>
    <w:sdtContent>
      <w:p w:rsidR="00F65417" w:rsidRDefault="000603BA">
        <w:pPr>
          <w:pStyle w:val="ac"/>
          <w:jc w:val="center"/>
        </w:pPr>
        <w:fldSimple w:instr=" PAGE   \* MERGEFORMAT ">
          <w:r w:rsidR="00270D0D">
            <w:rPr>
              <w:noProof/>
            </w:rPr>
            <w:t>1</w:t>
          </w:r>
        </w:fldSimple>
      </w:p>
    </w:sdtContent>
  </w:sdt>
  <w:p w:rsidR="00F65417" w:rsidRDefault="00F654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C4" w:rsidRDefault="00AD52C4" w:rsidP="00E165C3">
      <w:pPr>
        <w:spacing w:after="0" w:line="240" w:lineRule="auto"/>
      </w:pPr>
      <w:r>
        <w:separator/>
      </w:r>
    </w:p>
  </w:footnote>
  <w:footnote w:type="continuationSeparator" w:id="1">
    <w:p w:rsidR="00AD52C4" w:rsidRDefault="00AD52C4" w:rsidP="00E1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5C3"/>
    <w:rsid w:val="000009EE"/>
    <w:rsid w:val="00001978"/>
    <w:rsid w:val="0003140B"/>
    <w:rsid w:val="00031A79"/>
    <w:rsid w:val="0003540C"/>
    <w:rsid w:val="0003555B"/>
    <w:rsid w:val="00037705"/>
    <w:rsid w:val="00051988"/>
    <w:rsid w:val="000603BA"/>
    <w:rsid w:val="00060C57"/>
    <w:rsid w:val="00061432"/>
    <w:rsid w:val="00063616"/>
    <w:rsid w:val="00066E8E"/>
    <w:rsid w:val="00073CE6"/>
    <w:rsid w:val="000744DC"/>
    <w:rsid w:val="00086BF8"/>
    <w:rsid w:val="00087CB0"/>
    <w:rsid w:val="00092C52"/>
    <w:rsid w:val="000A1471"/>
    <w:rsid w:val="000A29CE"/>
    <w:rsid w:val="000B1B23"/>
    <w:rsid w:val="000D2037"/>
    <w:rsid w:val="000D2A94"/>
    <w:rsid w:val="000E0116"/>
    <w:rsid w:val="000E31D4"/>
    <w:rsid w:val="000E5FAC"/>
    <w:rsid w:val="000F4F41"/>
    <w:rsid w:val="001117D7"/>
    <w:rsid w:val="001138E1"/>
    <w:rsid w:val="00143ADA"/>
    <w:rsid w:val="00151136"/>
    <w:rsid w:val="00151421"/>
    <w:rsid w:val="00151F9E"/>
    <w:rsid w:val="001818C2"/>
    <w:rsid w:val="001854E7"/>
    <w:rsid w:val="001933E1"/>
    <w:rsid w:val="001A7A38"/>
    <w:rsid w:val="001B412E"/>
    <w:rsid w:val="001C0E7A"/>
    <w:rsid w:val="001C2F15"/>
    <w:rsid w:val="001C6C43"/>
    <w:rsid w:val="001D2B84"/>
    <w:rsid w:val="001D6783"/>
    <w:rsid w:val="001E27EC"/>
    <w:rsid w:val="001E60F1"/>
    <w:rsid w:val="00214E77"/>
    <w:rsid w:val="002167A1"/>
    <w:rsid w:val="002178B3"/>
    <w:rsid w:val="00220804"/>
    <w:rsid w:val="00235987"/>
    <w:rsid w:val="002452BD"/>
    <w:rsid w:val="00247258"/>
    <w:rsid w:val="00250BC2"/>
    <w:rsid w:val="00250EF5"/>
    <w:rsid w:val="002550BF"/>
    <w:rsid w:val="002665CF"/>
    <w:rsid w:val="00270D0D"/>
    <w:rsid w:val="002A1CEF"/>
    <w:rsid w:val="002C120C"/>
    <w:rsid w:val="002D1EC0"/>
    <w:rsid w:val="002E2A11"/>
    <w:rsid w:val="002F4AA9"/>
    <w:rsid w:val="002F5D85"/>
    <w:rsid w:val="00313210"/>
    <w:rsid w:val="003404A0"/>
    <w:rsid w:val="0034097F"/>
    <w:rsid w:val="0034583E"/>
    <w:rsid w:val="003468C5"/>
    <w:rsid w:val="003617F3"/>
    <w:rsid w:val="00362E4D"/>
    <w:rsid w:val="003670B5"/>
    <w:rsid w:val="003711C7"/>
    <w:rsid w:val="0038377C"/>
    <w:rsid w:val="003D4790"/>
    <w:rsid w:val="003E2DEF"/>
    <w:rsid w:val="00403B1A"/>
    <w:rsid w:val="00411075"/>
    <w:rsid w:val="0041328E"/>
    <w:rsid w:val="00415F5E"/>
    <w:rsid w:val="004236A0"/>
    <w:rsid w:val="004246E6"/>
    <w:rsid w:val="00424A19"/>
    <w:rsid w:val="004346DF"/>
    <w:rsid w:val="00442BC4"/>
    <w:rsid w:val="00443547"/>
    <w:rsid w:val="00447411"/>
    <w:rsid w:val="00451E2D"/>
    <w:rsid w:val="00465769"/>
    <w:rsid w:val="00482C7B"/>
    <w:rsid w:val="004B0D5F"/>
    <w:rsid w:val="004B2FF6"/>
    <w:rsid w:val="004C47D1"/>
    <w:rsid w:val="004C4874"/>
    <w:rsid w:val="004D668F"/>
    <w:rsid w:val="004E6B9A"/>
    <w:rsid w:val="00500AAD"/>
    <w:rsid w:val="0050678F"/>
    <w:rsid w:val="00517B55"/>
    <w:rsid w:val="00520DA4"/>
    <w:rsid w:val="00523AEC"/>
    <w:rsid w:val="005268E8"/>
    <w:rsid w:val="005337B1"/>
    <w:rsid w:val="0053674D"/>
    <w:rsid w:val="00572282"/>
    <w:rsid w:val="0058128D"/>
    <w:rsid w:val="005903E9"/>
    <w:rsid w:val="0059135D"/>
    <w:rsid w:val="00596E1C"/>
    <w:rsid w:val="005A41D1"/>
    <w:rsid w:val="005A5D55"/>
    <w:rsid w:val="005B3F2B"/>
    <w:rsid w:val="005B7473"/>
    <w:rsid w:val="005D13F5"/>
    <w:rsid w:val="005E3DDC"/>
    <w:rsid w:val="005F4E6C"/>
    <w:rsid w:val="005F4FF9"/>
    <w:rsid w:val="006012EB"/>
    <w:rsid w:val="00611A7A"/>
    <w:rsid w:val="006139C1"/>
    <w:rsid w:val="00623AF6"/>
    <w:rsid w:val="006431B6"/>
    <w:rsid w:val="00644D6C"/>
    <w:rsid w:val="00645D9F"/>
    <w:rsid w:val="00650559"/>
    <w:rsid w:val="00663A02"/>
    <w:rsid w:val="0066633E"/>
    <w:rsid w:val="0067420D"/>
    <w:rsid w:val="00677C27"/>
    <w:rsid w:val="00686574"/>
    <w:rsid w:val="006A2D4D"/>
    <w:rsid w:val="006B1267"/>
    <w:rsid w:val="006C5911"/>
    <w:rsid w:val="006D32DC"/>
    <w:rsid w:val="006E15DB"/>
    <w:rsid w:val="006E7BA7"/>
    <w:rsid w:val="006F0D2D"/>
    <w:rsid w:val="006F1E71"/>
    <w:rsid w:val="006F72D2"/>
    <w:rsid w:val="007050FF"/>
    <w:rsid w:val="007151C7"/>
    <w:rsid w:val="00720B5D"/>
    <w:rsid w:val="00735172"/>
    <w:rsid w:val="007404D5"/>
    <w:rsid w:val="00743C67"/>
    <w:rsid w:val="00744540"/>
    <w:rsid w:val="00745DB7"/>
    <w:rsid w:val="00755E18"/>
    <w:rsid w:val="00763A77"/>
    <w:rsid w:val="00791654"/>
    <w:rsid w:val="007B20C5"/>
    <w:rsid w:val="007B75B3"/>
    <w:rsid w:val="007C2875"/>
    <w:rsid w:val="007E433F"/>
    <w:rsid w:val="007E5802"/>
    <w:rsid w:val="008004A9"/>
    <w:rsid w:val="00803899"/>
    <w:rsid w:val="00805617"/>
    <w:rsid w:val="00815C97"/>
    <w:rsid w:val="00815E49"/>
    <w:rsid w:val="00817A74"/>
    <w:rsid w:val="00823584"/>
    <w:rsid w:val="00830D50"/>
    <w:rsid w:val="0083734D"/>
    <w:rsid w:val="008418EF"/>
    <w:rsid w:val="00845AD0"/>
    <w:rsid w:val="00846707"/>
    <w:rsid w:val="008520DC"/>
    <w:rsid w:val="00874264"/>
    <w:rsid w:val="0088071C"/>
    <w:rsid w:val="008862B3"/>
    <w:rsid w:val="00886D0F"/>
    <w:rsid w:val="00891121"/>
    <w:rsid w:val="008A6B0C"/>
    <w:rsid w:val="008C1399"/>
    <w:rsid w:val="008C560A"/>
    <w:rsid w:val="00900EA7"/>
    <w:rsid w:val="0091330B"/>
    <w:rsid w:val="00915E90"/>
    <w:rsid w:val="00924474"/>
    <w:rsid w:val="00932E24"/>
    <w:rsid w:val="0093328E"/>
    <w:rsid w:val="0093386D"/>
    <w:rsid w:val="00944388"/>
    <w:rsid w:val="00954C99"/>
    <w:rsid w:val="009554C3"/>
    <w:rsid w:val="009822D9"/>
    <w:rsid w:val="009A7CD3"/>
    <w:rsid w:val="009C17AB"/>
    <w:rsid w:val="009C406C"/>
    <w:rsid w:val="009D7453"/>
    <w:rsid w:val="009F3141"/>
    <w:rsid w:val="009F5F3C"/>
    <w:rsid w:val="00A01C92"/>
    <w:rsid w:val="00A3143B"/>
    <w:rsid w:val="00A3230A"/>
    <w:rsid w:val="00A4475E"/>
    <w:rsid w:val="00A505F9"/>
    <w:rsid w:val="00A56C31"/>
    <w:rsid w:val="00A869FE"/>
    <w:rsid w:val="00A86FCF"/>
    <w:rsid w:val="00A9067B"/>
    <w:rsid w:val="00AA316A"/>
    <w:rsid w:val="00AA555A"/>
    <w:rsid w:val="00AC43B1"/>
    <w:rsid w:val="00AC4C23"/>
    <w:rsid w:val="00AD52C4"/>
    <w:rsid w:val="00AE4BC4"/>
    <w:rsid w:val="00AF70FD"/>
    <w:rsid w:val="00B23489"/>
    <w:rsid w:val="00B35675"/>
    <w:rsid w:val="00B43612"/>
    <w:rsid w:val="00B54A79"/>
    <w:rsid w:val="00B618E6"/>
    <w:rsid w:val="00B70BC1"/>
    <w:rsid w:val="00B81C3A"/>
    <w:rsid w:val="00B81D82"/>
    <w:rsid w:val="00B82CBA"/>
    <w:rsid w:val="00B84ED5"/>
    <w:rsid w:val="00B8742E"/>
    <w:rsid w:val="00BA7523"/>
    <w:rsid w:val="00BB6C18"/>
    <w:rsid w:val="00BC2941"/>
    <w:rsid w:val="00BC3EC5"/>
    <w:rsid w:val="00BC47BB"/>
    <w:rsid w:val="00BC576C"/>
    <w:rsid w:val="00BC64B7"/>
    <w:rsid w:val="00BD4E51"/>
    <w:rsid w:val="00BD5EA9"/>
    <w:rsid w:val="00BD5FD5"/>
    <w:rsid w:val="00BE3802"/>
    <w:rsid w:val="00BE5DD4"/>
    <w:rsid w:val="00BF2D20"/>
    <w:rsid w:val="00C066BA"/>
    <w:rsid w:val="00C14360"/>
    <w:rsid w:val="00C20FEF"/>
    <w:rsid w:val="00C40CD8"/>
    <w:rsid w:val="00C63652"/>
    <w:rsid w:val="00C664ED"/>
    <w:rsid w:val="00C8525C"/>
    <w:rsid w:val="00C86125"/>
    <w:rsid w:val="00CA2143"/>
    <w:rsid w:val="00CB7B4F"/>
    <w:rsid w:val="00CD3FC8"/>
    <w:rsid w:val="00CD6DB7"/>
    <w:rsid w:val="00D01876"/>
    <w:rsid w:val="00D04748"/>
    <w:rsid w:val="00D20E9B"/>
    <w:rsid w:val="00D22997"/>
    <w:rsid w:val="00D36581"/>
    <w:rsid w:val="00D518D0"/>
    <w:rsid w:val="00D5404A"/>
    <w:rsid w:val="00D70361"/>
    <w:rsid w:val="00D72A44"/>
    <w:rsid w:val="00D74333"/>
    <w:rsid w:val="00D77696"/>
    <w:rsid w:val="00D86AB1"/>
    <w:rsid w:val="00D977A3"/>
    <w:rsid w:val="00DA1A30"/>
    <w:rsid w:val="00DA6703"/>
    <w:rsid w:val="00DB0315"/>
    <w:rsid w:val="00DB2357"/>
    <w:rsid w:val="00DE048A"/>
    <w:rsid w:val="00DE7587"/>
    <w:rsid w:val="00E005D2"/>
    <w:rsid w:val="00E0361C"/>
    <w:rsid w:val="00E07E4C"/>
    <w:rsid w:val="00E165C3"/>
    <w:rsid w:val="00E227BB"/>
    <w:rsid w:val="00E36DA6"/>
    <w:rsid w:val="00E37440"/>
    <w:rsid w:val="00E37C84"/>
    <w:rsid w:val="00E56492"/>
    <w:rsid w:val="00E57FD2"/>
    <w:rsid w:val="00E64DE7"/>
    <w:rsid w:val="00E65C17"/>
    <w:rsid w:val="00E73225"/>
    <w:rsid w:val="00E9774D"/>
    <w:rsid w:val="00EA477D"/>
    <w:rsid w:val="00EA7EC3"/>
    <w:rsid w:val="00EB369A"/>
    <w:rsid w:val="00EB7466"/>
    <w:rsid w:val="00EC0AF2"/>
    <w:rsid w:val="00EF3658"/>
    <w:rsid w:val="00EF43A1"/>
    <w:rsid w:val="00EF44DD"/>
    <w:rsid w:val="00F02340"/>
    <w:rsid w:val="00F047A7"/>
    <w:rsid w:val="00F13510"/>
    <w:rsid w:val="00F14511"/>
    <w:rsid w:val="00F408A1"/>
    <w:rsid w:val="00F40AE8"/>
    <w:rsid w:val="00F45A2B"/>
    <w:rsid w:val="00F5149E"/>
    <w:rsid w:val="00F5387A"/>
    <w:rsid w:val="00F65417"/>
    <w:rsid w:val="00F65C26"/>
    <w:rsid w:val="00F66F4A"/>
    <w:rsid w:val="00F7177F"/>
    <w:rsid w:val="00F739EA"/>
    <w:rsid w:val="00F75F8D"/>
    <w:rsid w:val="00F81D9A"/>
    <w:rsid w:val="00FB1940"/>
    <w:rsid w:val="00FB5F1F"/>
    <w:rsid w:val="00FC1A04"/>
    <w:rsid w:val="00FC1EF7"/>
    <w:rsid w:val="00FD3165"/>
    <w:rsid w:val="00FD5B81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165C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E16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E165C3"/>
    <w:pPr>
      <w:widowControl w:val="0"/>
      <w:suppressAutoHyphens/>
      <w:autoSpaceDE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165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Цитата2"/>
    <w:basedOn w:val="a"/>
    <w:rsid w:val="00E165C3"/>
    <w:pPr>
      <w:widowControl w:val="0"/>
      <w:suppressAutoHyphens/>
      <w:overflowPunct w:val="0"/>
      <w:autoSpaceDE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5C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1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65C3"/>
  </w:style>
  <w:style w:type="paragraph" w:styleId="ac">
    <w:name w:val="footer"/>
    <w:basedOn w:val="a"/>
    <w:link w:val="ad"/>
    <w:uiPriority w:val="99"/>
    <w:unhideWhenUsed/>
    <w:rsid w:val="00E1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16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sideWall>
    <c:backWall>
      <c:spPr>
        <a:gradFill>
          <a:gsLst>
            <a:gs pos="0">
              <a:schemeClr val="accent6">
                <a:lumMod val="40000"/>
                <a:lumOff val="60000"/>
              </a:schemeClr>
            </a:gs>
            <a:gs pos="17999">
              <a:srgbClr val="FEE7F2"/>
            </a:gs>
            <a:gs pos="36000">
              <a:srgbClr val="FAC77D"/>
            </a:gs>
            <a:gs pos="61000">
              <a:srgbClr val="FBA97D"/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расходов</c:v>
                </c:pt>
              </c:strCache>
            </c:strRef>
          </c:tx>
          <c:dLbls>
            <c:dLbl>
              <c:idx val="0"/>
              <c:layout>
                <c:manualLayout>
                  <c:x val="8.3333333333333523E-2"/>
                  <c:y val="-7.5396825396825531E-2"/>
                </c:manualLayout>
              </c:layout>
              <c:showVal val="1"/>
            </c:dLbl>
            <c:dLbl>
              <c:idx val="1"/>
              <c:layout>
                <c:manualLayout>
                  <c:x val="8.7962907590137709E-2"/>
                  <c:y val="-7.1428571428571494E-2"/>
                </c:manualLayout>
              </c:layout>
              <c:showVal val="1"/>
            </c:dLbl>
            <c:dLbl>
              <c:idx val="2"/>
              <c:layout>
                <c:manualLayout>
                  <c:x val="9.2592592592593712E-2"/>
                  <c:y val="-7.142857142857149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8566</c:v>
                </c:pt>
                <c:pt idx="1">
                  <c:v>9475</c:v>
                </c:pt>
                <c:pt idx="2">
                  <c:v>9184.2999999999811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Общий объем доходов</c:v>
                </c:pt>
              </c:strCache>
            </c:strRef>
          </c:tx>
          <c:dLbls>
            <c:dLbl>
              <c:idx val="0"/>
              <c:layout>
                <c:manualLayout>
                  <c:x val="8.5648028173694643E-2"/>
                  <c:y val="-7.9365391826022563E-2"/>
                </c:manualLayout>
              </c:layout>
              <c:showVal val="1"/>
            </c:dLbl>
            <c:dLbl>
              <c:idx val="1"/>
              <c:layout>
                <c:manualLayout>
                  <c:x val="8.3333296418116515E-2"/>
                  <c:y val="-3.174603174603171E-2"/>
                </c:manualLayout>
              </c:layout>
              <c:showVal val="1"/>
            </c:dLbl>
            <c:dLbl>
              <c:idx val="2"/>
              <c:layout>
                <c:manualLayout>
                  <c:x val="9.2592666423026548E-2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8640</c:v>
                </c:pt>
                <c:pt idx="1">
                  <c:v>9030</c:v>
                </c:pt>
                <c:pt idx="2">
                  <c:v>9084.4</c:v>
                </c:pt>
              </c:numCache>
            </c:numRef>
          </c:val>
        </c:ser>
        <c:shape val="cylinder"/>
        <c:axId val="144420224"/>
        <c:axId val="154777856"/>
        <c:axId val="0"/>
      </c:bar3DChart>
      <c:catAx>
        <c:axId val="144420224"/>
        <c:scaling>
          <c:orientation val="minMax"/>
        </c:scaling>
        <c:axPos val="b"/>
        <c:tickLblPos val="nextTo"/>
        <c:crossAx val="154777856"/>
        <c:crosses val="autoZero"/>
        <c:auto val="1"/>
        <c:lblAlgn val="ctr"/>
        <c:lblOffset val="100"/>
      </c:catAx>
      <c:valAx>
        <c:axId val="154777856"/>
        <c:scaling>
          <c:orientation val="minMax"/>
        </c:scaling>
        <c:axPos val="l"/>
        <c:majorGridlines/>
        <c:numFmt formatCode="#,##0" sourceLinked="1"/>
        <c:tickLblPos val="nextTo"/>
        <c:crossAx val="144420224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 algn="ctr"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Структура доходов бюджета Соцгородского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СП за 2014 год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2114817841475318"/>
          <c:y val="3.090907566266688E-3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accent1"/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metal"/>
          </c:spPr>
          <c:explosion val="38"/>
          <c:dLbls>
            <c:dLbl>
              <c:idx val="0"/>
              <c:layout>
                <c:manualLayout>
                  <c:x val="-0.12803432823051467"/>
                  <c:y val="-1.45633233545487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доходы; 11,4%</a:t>
                    </a:r>
                  </a:p>
                </c:rich>
              </c:tx>
              <c:showVal val="1"/>
              <c:showSer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Неналоговые доходы; 0,2%</a:t>
                    </a:r>
                  </a:p>
                </c:rich>
              </c:tx>
              <c:showVal val="1"/>
              <c:showSer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Дотации; 21,7</a:t>
                    </a:r>
                  </a:p>
                </c:rich>
              </c:tx>
              <c:showVal val="1"/>
              <c:showSerNam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Субсидии; 65,8 %</a:t>
                    </a:r>
                  </a:p>
                </c:rich>
              </c:tx>
              <c:showVal val="1"/>
              <c:showSerName val="1"/>
            </c:dLbl>
            <c:dLbl>
              <c:idx val="4"/>
              <c:layout>
                <c:manualLayout>
                  <c:x val="-0.11925084134421852"/>
                  <c:y val="-2.01754345924150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Субвенции; 0,9 %</a:t>
                    </a:r>
                  </a:p>
                </c:rich>
              </c:tx>
              <c:showVal val="1"/>
              <c:showSerName val="1"/>
            </c:dLbl>
            <c:spPr>
              <a:effectLst>
                <a:outerShdw blurRad="50800" dist="50800" dir="5400000" algn="ctr" rotWithShape="0">
                  <a:schemeClr val="bg1">
                    <a:lumMod val="85000"/>
                  </a:schemeClr>
                </a:outerShdw>
              </a:effectLst>
            </c:spPr>
            <c:showVal val="1"/>
            <c:showSer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Налоговые доходы (1 048 тыс. руб.)</c:v>
                </c:pt>
                <c:pt idx="1">
                  <c:v>Неналоговые доходы (19 тыс. рублей</c:v>
                </c:pt>
                <c:pt idx="2">
                  <c:v>Дотации (1 993 тыс. рублей)</c:v>
                </c:pt>
                <c:pt idx="3">
                  <c:v>Субсидии (6 043 тыс. рублей)</c:v>
                </c:pt>
                <c:pt idx="4">
                  <c:v>Субвенции (81 тыс.рублей)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11.4</c:v>
                </c:pt>
                <c:pt idx="1">
                  <c:v>0.2</c:v>
                </c:pt>
                <c:pt idx="2">
                  <c:v>21.7</c:v>
                </c:pt>
                <c:pt idx="3">
                  <c:v>65.8</c:v>
                </c:pt>
                <c:pt idx="4">
                  <c:v>0.9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+mj-lt"/>
              </a:defRPr>
            </a:pPr>
            <a:r>
              <a:rPr lang="ru-RU" sz="1200">
                <a:latin typeface="+mj-lt"/>
              </a:rPr>
              <a:t>Исполнение</a:t>
            </a:r>
            <a:r>
              <a:rPr lang="ru-RU" sz="1200" baseline="0">
                <a:latin typeface="+mj-lt"/>
              </a:rPr>
              <a:t> расходов бюджета поселения по годам</a:t>
            </a:r>
          </a:p>
          <a:p>
            <a:pPr>
              <a:defRPr sz="1200">
                <a:latin typeface="+mj-lt"/>
              </a:defRPr>
            </a:pPr>
            <a:r>
              <a:rPr lang="ru-RU" sz="1200" baseline="0">
                <a:latin typeface="+mj-lt"/>
              </a:rPr>
              <a:t> (тыс. рублей)</a:t>
            </a:r>
            <a:endParaRPr lang="ru-RU" sz="1200">
              <a:latin typeface="+mj-lt"/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</c:v>
                </c:pt>
              </c:strCache>
            </c:strRef>
          </c:tx>
          <c:dLbls>
            <c:dLbl>
              <c:idx val="2"/>
              <c:layout>
                <c:manualLayout>
                  <c:x val="-9.2592592592593663E-3"/>
                  <c:y val="-7.142857142857142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9457</c:v>
                </c:pt>
                <c:pt idx="1">
                  <c:v>9475</c:v>
                </c:pt>
                <c:pt idx="2">
                  <c:v>9084.4</c:v>
                </c:pt>
              </c:numCache>
            </c:numRef>
          </c:val>
        </c:ser>
        <c:marker val="1"/>
        <c:axId val="163423744"/>
        <c:axId val="163425664"/>
      </c:lineChart>
      <c:catAx>
        <c:axId val="163423744"/>
        <c:scaling>
          <c:orientation val="minMax"/>
        </c:scaling>
        <c:axPos val="b"/>
        <c:tickLblPos val="nextTo"/>
        <c:crossAx val="163425664"/>
        <c:crosses val="autoZero"/>
        <c:auto val="1"/>
        <c:lblAlgn val="ctr"/>
        <c:lblOffset val="100"/>
      </c:catAx>
      <c:valAx>
        <c:axId val="163425664"/>
        <c:scaling>
          <c:orientation val="minMax"/>
        </c:scaling>
        <c:axPos val="l"/>
        <c:majorGridlines/>
        <c:numFmt formatCode="General" sourceLinked="1"/>
        <c:tickLblPos val="nextTo"/>
        <c:crossAx val="163423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DE25-C71D-410D-AF03-5E26D263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3537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2015-04-17T06:29:00Z</cp:lastPrinted>
  <dcterms:created xsi:type="dcterms:W3CDTF">2015-04-17T06:31:00Z</dcterms:created>
  <dcterms:modified xsi:type="dcterms:W3CDTF">2015-04-17T06:31:00Z</dcterms:modified>
</cp:coreProperties>
</file>