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2" w:rsidRDefault="005718B2" w:rsidP="0057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18454"/>
            <wp:effectExtent l="19050" t="0" r="9525" b="0"/>
            <wp:docPr id="6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B2" w:rsidRPr="00064EA4" w:rsidRDefault="005718B2" w:rsidP="005718B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718B2" w:rsidRPr="00064EA4" w:rsidRDefault="005718B2" w:rsidP="005718B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5718B2" w:rsidRPr="00064EA4" w:rsidRDefault="005718B2" w:rsidP="005718B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5718B2" w:rsidRPr="00064EA4" w:rsidRDefault="005718B2" w:rsidP="005718B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5718B2" w:rsidRPr="00064EA4" w:rsidRDefault="005718B2" w:rsidP="005718B2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718B2" w:rsidRPr="00064EA4" w:rsidRDefault="005718B2" w:rsidP="005718B2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</w:t>
      </w:r>
    </w:p>
    <w:p w:rsidR="005718B2" w:rsidRPr="00064EA4" w:rsidRDefault="005718B2" w:rsidP="005718B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B2" w:rsidRPr="00064EA4" w:rsidRDefault="005718B2" w:rsidP="005718B2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От  </w:t>
      </w:r>
      <w:r w:rsidR="008F4202">
        <w:rPr>
          <w:rFonts w:ascii="Times New Roman" w:hAnsi="Times New Roman" w:cs="Times New Roman"/>
          <w:sz w:val="24"/>
          <w:szCs w:val="24"/>
        </w:rPr>
        <w:t>27</w:t>
      </w:r>
      <w:r w:rsidR="008E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64EA4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г. Железногорск-Илимский</w:t>
      </w:r>
    </w:p>
    <w:p w:rsidR="005718B2" w:rsidRPr="00064EA4" w:rsidRDefault="005718B2" w:rsidP="005718B2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718B2" w:rsidRPr="00064EA4" w:rsidRDefault="005718B2" w:rsidP="005718B2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18B2" w:rsidRPr="00F36F4A" w:rsidRDefault="005718B2" w:rsidP="005718B2">
      <w:pPr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 № 01-10/</w:t>
      </w:r>
      <w:r w:rsidR="009423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718B2" w:rsidRPr="00F36F4A" w:rsidRDefault="005718B2" w:rsidP="005718B2">
      <w:pPr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внешней проверки</w:t>
      </w:r>
    </w:p>
    <w:p w:rsidR="005718B2" w:rsidRDefault="005718B2" w:rsidP="005718B2">
      <w:pPr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годового отчета об исполнении бюджета </w:t>
      </w:r>
      <w:r w:rsidR="00223B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Новоигирминского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городского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</w:p>
    <w:p w:rsidR="005718B2" w:rsidRPr="00F36F4A" w:rsidRDefault="005718B2" w:rsidP="005718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Нижнеилимского района 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sz w:val="29"/>
          <w:szCs w:val="29"/>
        </w:rPr>
      </w:pPr>
    </w:p>
    <w:p w:rsidR="005718B2" w:rsidRDefault="00BF765C" w:rsidP="00571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8B2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 w:rsidR="00223BC9">
        <w:rPr>
          <w:rFonts w:ascii="Times New Roman" w:hAnsi="Times New Roman" w:cs="Times New Roman"/>
          <w:sz w:val="24"/>
          <w:szCs w:val="24"/>
        </w:rPr>
        <w:t>Новоигирминское</w:t>
      </w:r>
      <w:r w:rsidR="005718B2">
        <w:rPr>
          <w:rFonts w:ascii="Times New Roman" w:hAnsi="Times New Roman" w:cs="Times New Roman"/>
          <w:sz w:val="24"/>
          <w:szCs w:val="24"/>
        </w:rPr>
        <w:t xml:space="preserve"> городское поселение» за 2014 год проведена на основании ст.ст. 157, 264.4 Бюджетного кодекса РФ, П</w:t>
      </w:r>
      <w:r w:rsidR="005718B2" w:rsidRPr="00F36F4A">
        <w:rPr>
          <w:rFonts w:ascii="Times New Roman" w:hAnsi="Times New Roman" w:cs="Times New Roman"/>
          <w:sz w:val="24"/>
          <w:szCs w:val="24"/>
        </w:rPr>
        <w:t>оложени</w:t>
      </w:r>
      <w:r w:rsidR="005718B2">
        <w:rPr>
          <w:rFonts w:ascii="Times New Roman" w:hAnsi="Times New Roman" w:cs="Times New Roman"/>
          <w:sz w:val="24"/>
          <w:szCs w:val="24"/>
        </w:rPr>
        <w:t>я</w:t>
      </w:r>
      <w:r w:rsidR="005718B2" w:rsidRPr="00F36F4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r w:rsidR="005718B2">
        <w:rPr>
          <w:rFonts w:ascii="Times New Roman" w:hAnsi="Times New Roman" w:cs="Times New Roman"/>
          <w:sz w:val="24"/>
          <w:szCs w:val="24"/>
        </w:rPr>
        <w:t>Нижнеилимского муниципаль</w:t>
      </w:r>
      <w:r w:rsidR="005718B2" w:rsidRPr="00F36F4A">
        <w:rPr>
          <w:rFonts w:ascii="Times New Roman" w:hAnsi="Times New Roman" w:cs="Times New Roman"/>
          <w:sz w:val="24"/>
          <w:szCs w:val="24"/>
        </w:rPr>
        <w:t>ного района</w:t>
      </w:r>
      <w:r w:rsidR="005718B2">
        <w:rPr>
          <w:rFonts w:ascii="Times New Roman" w:hAnsi="Times New Roman" w:cs="Times New Roman"/>
          <w:sz w:val="24"/>
          <w:szCs w:val="24"/>
        </w:rPr>
        <w:t>, План</w:t>
      </w:r>
      <w:r w:rsidR="00372352">
        <w:rPr>
          <w:rFonts w:ascii="Times New Roman" w:hAnsi="Times New Roman" w:cs="Times New Roman"/>
          <w:sz w:val="24"/>
          <w:szCs w:val="24"/>
        </w:rPr>
        <w:t>а</w:t>
      </w:r>
      <w:r w:rsidR="005718B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72352">
        <w:rPr>
          <w:rFonts w:ascii="Times New Roman" w:hAnsi="Times New Roman" w:cs="Times New Roman"/>
          <w:sz w:val="24"/>
          <w:szCs w:val="24"/>
        </w:rPr>
        <w:t>КСП Нижнеилимского муниципального района</w:t>
      </w:r>
      <w:r w:rsidR="005718B2">
        <w:rPr>
          <w:rFonts w:ascii="Times New Roman" w:hAnsi="Times New Roman" w:cs="Times New Roman"/>
          <w:sz w:val="24"/>
          <w:szCs w:val="24"/>
        </w:rPr>
        <w:t xml:space="preserve"> на 2015 год и </w:t>
      </w:r>
      <w:r w:rsidR="005718B2" w:rsidRPr="00F36F4A">
        <w:rPr>
          <w:rFonts w:ascii="Times New Roman" w:hAnsi="Times New Roman" w:cs="Times New Roman"/>
          <w:sz w:val="24"/>
          <w:szCs w:val="24"/>
        </w:rPr>
        <w:t>Соглашен</w:t>
      </w:r>
      <w:r w:rsidR="00372352">
        <w:rPr>
          <w:rFonts w:ascii="Times New Roman" w:hAnsi="Times New Roman" w:cs="Times New Roman"/>
          <w:sz w:val="24"/>
          <w:szCs w:val="24"/>
        </w:rPr>
        <w:t>ия</w:t>
      </w:r>
      <w:r w:rsidR="005718B2" w:rsidRPr="00F36F4A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5718B2">
        <w:rPr>
          <w:rFonts w:ascii="Times New Roman" w:hAnsi="Times New Roman" w:cs="Times New Roman"/>
          <w:sz w:val="24"/>
          <w:szCs w:val="24"/>
        </w:rPr>
        <w:t xml:space="preserve">полномочий Думой </w:t>
      </w:r>
      <w:r w:rsidR="002C1BCA">
        <w:rPr>
          <w:rFonts w:ascii="Times New Roman" w:hAnsi="Times New Roman" w:cs="Times New Roman"/>
          <w:sz w:val="24"/>
          <w:szCs w:val="24"/>
        </w:rPr>
        <w:t>Новоигирминского</w:t>
      </w:r>
      <w:r w:rsidR="00372352">
        <w:rPr>
          <w:rFonts w:ascii="Times New Roman" w:hAnsi="Times New Roman" w:cs="Times New Roman"/>
          <w:sz w:val="24"/>
          <w:szCs w:val="24"/>
        </w:rPr>
        <w:t xml:space="preserve"> ГП</w:t>
      </w:r>
      <w:r w:rsidR="005718B2">
        <w:rPr>
          <w:rFonts w:ascii="Times New Roman" w:hAnsi="Times New Roman" w:cs="Times New Roman"/>
          <w:sz w:val="24"/>
          <w:szCs w:val="24"/>
        </w:rPr>
        <w:t xml:space="preserve"> Контрольно-счетной палате Нижнеилимского муниципального района</w:t>
      </w:r>
      <w:r w:rsidR="005718B2" w:rsidRPr="00F36F4A">
        <w:rPr>
          <w:rFonts w:ascii="Times New Roman" w:hAnsi="Times New Roman" w:cs="Times New Roman"/>
          <w:sz w:val="24"/>
          <w:szCs w:val="24"/>
        </w:rPr>
        <w:t xml:space="preserve"> </w:t>
      </w:r>
      <w:r w:rsidR="005718B2">
        <w:rPr>
          <w:rFonts w:ascii="Times New Roman" w:hAnsi="Times New Roman" w:cs="Times New Roman"/>
          <w:sz w:val="24"/>
          <w:szCs w:val="24"/>
        </w:rPr>
        <w:t xml:space="preserve">от 25 ноября 2013 года № </w:t>
      </w:r>
      <w:r w:rsidR="002C1BCA">
        <w:rPr>
          <w:rFonts w:ascii="Times New Roman" w:hAnsi="Times New Roman" w:cs="Times New Roman"/>
          <w:sz w:val="24"/>
          <w:szCs w:val="24"/>
        </w:rPr>
        <w:t>15</w:t>
      </w:r>
      <w:r w:rsidR="005718B2">
        <w:rPr>
          <w:rFonts w:ascii="Times New Roman" w:hAnsi="Times New Roman" w:cs="Times New Roman"/>
          <w:sz w:val="24"/>
          <w:szCs w:val="24"/>
        </w:rPr>
        <w:t>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</w:t>
      </w:r>
      <w:r w:rsidR="002C1BCA">
        <w:rPr>
          <w:rFonts w:ascii="Times New Roman" w:hAnsi="Times New Roman" w:cs="Times New Roman"/>
          <w:sz w:val="24"/>
          <w:szCs w:val="24"/>
        </w:rPr>
        <w:t xml:space="preserve">консолидированная годовая </w:t>
      </w:r>
      <w:r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2C1BCA">
        <w:rPr>
          <w:rFonts w:ascii="Times New Roman" w:hAnsi="Times New Roman" w:cs="Times New Roman"/>
          <w:sz w:val="24"/>
          <w:szCs w:val="24"/>
        </w:rPr>
        <w:t>Новоигирминского МО за 2014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</w:t>
      </w:r>
      <w:r w:rsidR="00372352">
        <w:rPr>
          <w:rFonts w:ascii="Times New Roman" w:hAnsi="Times New Roman" w:cs="Times New Roman"/>
          <w:sz w:val="24"/>
          <w:szCs w:val="24"/>
        </w:rPr>
        <w:t xml:space="preserve">асно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37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ст. 264.4 Бюджетного кодекса РФ (далее – БК РФ) отчет об исполнении местного бюджета для подготовки заключения на него предоставляется не позднее 1 апреля текущего года. Годовая бюджетная отчетность за 2014 год, проект решения Думы </w:t>
      </w:r>
      <w:r w:rsidR="002C1BCA">
        <w:rPr>
          <w:rFonts w:ascii="Times New Roman" w:hAnsi="Times New Roman" w:cs="Times New Roman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«Отчет об исполнении бюджета </w:t>
      </w:r>
      <w:r w:rsidR="002C1BCA">
        <w:rPr>
          <w:rFonts w:ascii="Times New Roman" w:hAnsi="Times New Roman" w:cs="Times New Roman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МО за 2014 год»  представлен в Контрольно-счетную палату Нижнеилимского муниципального района (далее – КСП района, Контрольно-счетная палата) 31 марта 2015 года, что соответствует норме закона. 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п. 2 ст. 264.4 БК РФ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r w:rsidRPr="00E227BB">
        <w:rPr>
          <w:rFonts w:ascii="Times New Roman" w:hAnsi="Times New Roman" w:cs="Times New Roman"/>
          <w:sz w:val="24"/>
          <w:szCs w:val="24"/>
        </w:rPr>
        <w:t>порядке, установленном муниципальным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 соблюдением требований БК РФ и с учетом особенностей, установленных федеральными законами. По запросу КСП района, указанный порядок  не представлен. </w:t>
      </w:r>
    </w:p>
    <w:p w:rsidR="005718B2" w:rsidRDefault="00DE7238" w:rsidP="0017405D">
      <w:pPr>
        <w:shd w:val="clear" w:color="auto" w:fill="FFFFFF"/>
        <w:tabs>
          <w:tab w:val="left" w:pos="830"/>
        </w:tabs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17405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 было доведено до Администрации Новоигирминского ГП</w:t>
      </w:r>
      <w:r w:rsidR="00174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27.04.2015г.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после ознакомления от Администрации поселения поступили пояснения</w:t>
      </w:r>
      <w:r w:rsidR="001740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которые были учтены при подготовке настоящего заключения.</w:t>
      </w:r>
    </w:p>
    <w:p w:rsidR="0017405D" w:rsidRPr="00DE7238" w:rsidRDefault="0017405D" w:rsidP="0017405D">
      <w:pPr>
        <w:shd w:val="clear" w:color="auto" w:fill="FFFFFF"/>
        <w:tabs>
          <w:tab w:val="left" w:pos="830"/>
        </w:tabs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718B2" w:rsidRPr="000720E8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0E8">
        <w:rPr>
          <w:rFonts w:ascii="Times New Roman" w:hAnsi="Times New Roman" w:cs="Times New Roman"/>
          <w:b/>
          <w:i/>
          <w:sz w:val="24"/>
          <w:szCs w:val="24"/>
        </w:rPr>
        <w:t xml:space="preserve">Итоги социально-экономического развития </w:t>
      </w:r>
      <w:r w:rsidR="002C1BCA">
        <w:rPr>
          <w:rFonts w:ascii="Times New Roman" w:hAnsi="Times New Roman" w:cs="Times New Roman"/>
          <w:b/>
          <w:i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</w:t>
      </w:r>
      <w:r w:rsidRPr="000720E8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82D" w:rsidRDefault="005718B2" w:rsidP="00385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1BCA">
        <w:rPr>
          <w:rFonts w:ascii="Times New Roman" w:hAnsi="Times New Roman" w:cs="Times New Roman"/>
          <w:sz w:val="24"/>
          <w:szCs w:val="24"/>
        </w:rPr>
        <w:t>Новоигирминском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 (далее – </w:t>
      </w:r>
      <w:r w:rsidR="0038582D">
        <w:rPr>
          <w:rFonts w:ascii="Times New Roman" w:hAnsi="Times New Roman" w:cs="Times New Roman"/>
          <w:sz w:val="24"/>
          <w:szCs w:val="24"/>
        </w:rPr>
        <w:t>Новоигирминское</w:t>
      </w:r>
      <w:r>
        <w:rPr>
          <w:rFonts w:ascii="Times New Roman" w:hAnsi="Times New Roman" w:cs="Times New Roman"/>
          <w:sz w:val="24"/>
          <w:szCs w:val="24"/>
        </w:rPr>
        <w:t xml:space="preserve"> ГП, городское поселение или поселение) сложилась, в целом, положительная динамика показателей социально</w:t>
      </w:r>
      <w:r w:rsidR="00DD2E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развития.</w:t>
      </w:r>
    </w:p>
    <w:p w:rsidR="0077080A" w:rsidRPr="0077080A" w:rsidRDefault="002C1BCA" w:rsidP="0038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A">
        <w:rPr>
          <w:rFonts w:ascii="Times New Roman" w:hAnsi="Times New Roman" w:cs="Times New Roman"/>
          <w:sz w:val="24"/>
          <w:szCs w:val="24"/>
        </w:rPr>
        <w:t xml:space="preserve">Промышленность играет ведущую роль в экономическом секторе </w:t>
      </w:r>
      <w:r w:rsidR="003858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C1BCA">
        <w:rPr>
          <w:rFonts w:ascii="Times New Roman" w:hAnsi="Times New Roman" w:cs="Times New Roman"/>
          <w:sz w:val="24"/>
          <w:szCs w:val="24"/>
        </w:rPr>
        <w:t xml:space="preserve">. Главной градообразующей отраслью поселка является лесная и деревообрабатывающая промышленность. На территории </w:t>
      </w:r>
      <w:r w:rsidR="0038582D">
        <w:rPr>
          <w:rFonts w:ascii="Times New Roman" w:hAnsi="Times New Roman" w:cs="Times New Roman"/>
          <w:sz w:val="24"/>
          <w:szCs w:val="24"/>
        </w:rPr>
        <w:t xml:space="preserve">поселения действуют </w:t>
      </w:r>
      <w:r w:rsidRPr="002C1BCA">
        <w:rPr>
          <w:rFonts w:ascii="Times New Roman" w:hAnsi="Times New Roman" w:cs="Times New Roman"/>
          <w:sz w:val="24"/>
          <w:szCs w:val="24"/>
        </w:rPr>
        <w:t>деревообрабатывающие предприятия</w:t>
      </w:r>
      <w:r w:rsidR="0038582D">
        <w:rPr>
          <w:rFonts w:ascii="Times New Roman" w:hAnsi="Times New Roman" w:cs="Times New Roman"/>
          <w:sz w:val="24"/>
          <w:szCs w:val="24"/>
        </w:rPr>
        <w:t>:</w:t>
      </w:r>
      <w:r w:rsidRPr="002C1BCA">
        <w:rPr>
          <w:rFonts w:ascii="Times New Roman" w:hAnsi="Times New Roman" w:cs="Times New Roman"/>
          <w:sz w:val="24"/>
          <w:szCs w:val="24"/>
        </w:rPr>
        <w:t xml:space="preserve"> ООО </w:t>
      </w:r>
      <w:r w:rsidRPr="002C1BCA">
        <w:rPr>
          <w:rFonts w:ascii="Times New Roman" w:hAnsi="Times New Roman" w:cs="Times New Roman"/>
          <w:sz w:val="24"/>
          <w:szCs w:val="24"/>
        </w:rPr>
        <w:lastRenderedPageBreak/>
        <w:t xml:space="preserve">СП «Сибэкспортлес-Тайрику», ЗАО «ЛДК Игирма», входящие в состав производственного объединения ООО «Русская лесная группа», крупное предприятие  </w:t>
      </w:r>
      <w:r w:rsidR="0038582D">
        <w:rPr>
          <w:rFonts w:ascii="Times New Roman" w:hAnsi="Times New Roman" w:cs="Times New Roman"/>
          <w:sz w:val="24"/>
          <w:szCs w:val="24"/>
        </w:rPr>
        <w:t>О</w:t>
      </w:r>
      <w:r w:rsidRPr="002C1BCA">
        <w:rPr>
          <w:rFonts w:ascii="Times New Roman" w:hAnsi="Times New Roman" w:cs="Times New Roman"/>
          <w:sz w:val="24"/>
          <w:szCs w:val="24"/>
        </w:rPr>
        <w:t xml:space="preserve">ОО «Лесресурс», а также ряд малых предприятий и индивидуальных предпринимателей. Лесозаготовительную деятельность осуществляет предприятие ООО «Сибирская Лесная Компания», </w:t>
      </w:r>
      <w:r w:rsidR="0038582D">
        <w:rPr>
          <w:rFonts w:ascii="Times New Roman" w:hAnsi="Times New Roman" w:cs="Times New Roman"/>
          <w:sz w:val="24"/>
          <w:szCs w:val="24"/>
        </w:rPr>
        <w:t>т</w:t>
      </w:r>
      <w:r w:rsidRPr="002C1BCA">
        <w:rPr>
          <w:rFonts w:ascii="Times New Roman" w:hAnsi="Times New Roman" w:cs="Times New Roman"/>
          <w:sz w:val="24"/>
          <w:szCs w:val="24"/>
        </w:rPr>
        <w:t>акже входящ</w:t>
      </w:r>
      <w:r w:rsidR="0038582D">
        <w:rPr>
          <w:rFonts w:ascii="Times New Roman" w:hAnsi="Times New Roman" w:cs="Times New Roman"/>
          <w:sz w:val="24"/>
          <w:szCs w:val="24"/>
        </w:rPr>
        <w:t>ее</w:t>
      </w:r>
      <w:r w:rsidRPr="002C1BCA">
        <w:rPr>
          <w:rFonts w:ascii="Times New Roman" w:hAnsi="Times New Roman" w:cs="Times New Roman"/>
          <w:sz w:val="24"/>
          <w:szCs w:val="24"/>
        </w:rPr>
        <w:t xml:space="preserve"> в  ООО «Русская лесная группа». Деревоперерабатывающие заводы оснащены высокотехнологичным оборудованием от ведущих мировых брендов. Предприятия лесного комплекса  с успехом инвестируют средства в развитие производства, так осенью 2014 год </w:t>
      </w:r>
      <w:r w:rsidR="00EB2848">
        <w:rPr>
          <w:rFonts w:ascii="Times New Roman" w:hAnsi="Times New Roman" w:cs="Times New Roman"/>
          <w:sz w:val="24"/>
          <w:szCs w:val="24"/>
        </w:rPr>
        <w:t xml:space="preserve">был </w:t>
      </w:r>
      <w:r w:rsidRPr="002C1BCA">
        <w:rPr>
          <w:rFonts w:ascii="Times New Roman" w:hAnsi="Times New Roman" w:cs="Times New Roman"/>
          <w:sz w:val="24"/>
          <w:szCs w:val="24"/>
        </w:rPr>
        <w:t xml:space="preserve">открыт цех по производству топливных гранул (пеллет) стандартного и премиум класса </w:t>
      </w:r>
      <w:r w:rsidRPr="0077080A">
        <w:rPr>
          <w:rFonts w:ascii="Times New Roman" w:hAnsi="Times New Roman" w:cs="Times New Roman"/>
          <w:sz w:val="24"/>
          <w:szCs w:val="24"/>
        </w:rPr>
        <w:t>в ООО «Лесресурс».</w:t>
      </w:r>
      <w:r w:rsidR="0077080A" w:rsidRPr="0077080A">
        <w:rPr>
          <w:rFonts w:ascii="Times New Roman" w:hAnsi="Times New Roman" w:cs="Times New Roman"/>
          <w:sz w:val="24"/>
          <w:szCs w:val="24"/>
        </w:rPr>
        <w:t xml:space="preserve"> Численность работающих на лесопромышленных предприятиях поселения составляет 1960 человек.</w:t>
      </w:r>
      <w:r w:rsidR="0038582D" w:rsidRPr="00770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CA" w:rsidRDefault="0077080A" w:rsidP="0038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80A"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  <w:r w:rsidR="005718B2" w:rsidRPr="0077080A">
        <w:rPr>
          <w:rFonts w:ascii="Times New Roman" w:hAnsi="Times New Roman" w:cs="Times New Roman"/>
          <w:sz w:val="24"/>
          <w:szCs w:val="24"/>
        </w:rPr>
        <w:t xml:space="preserve"> яв</w:t>
      </w:r>
      <w:r w:rsidR="005718B2">
        <w:rPr>
          <w:rFonts w:ascii="Times New Roman" w:hAnsi="Times New Roman" w:cs="Times New Roman"/>
          <w:sz w:val="24"/>
          <w:szCs w:val="24"/>
        </w:rPr>
        <w:t xml:space="preserve">ляется неотъемлемой частью экономики и приобретает с каждым годом все большое экономическое и социальное значение. В </w:t>
      </w:r>
      <w:r>
        <w:rPr>
          <w:rFonts w:ascii="Times New Roman" w:hAnsi="Times New Roman" w:cs="Times New Roman"/>
          <w:sz w:val="24"/>
          <w:szCs w:val="24"/>
        </w:rPr>
        <w:t xml:space="preserve">Новоигирминском </w:t>
      </w:r>
      <w:r w:rsidR="005718B2">
        <w:rPr>
          <w:rFonts w:ascii="Times New Roman" w:hAnsi="Times New Roman" w:cs="Times New Roman"/>
          <w:sz w:val="24"/>
          <w:szCs w:val="24"/>
        </w:rPr>
        <w:t>ГП функционируют сеть предприятий малого бизнеса, деятельность которых направлена на расширение услуг потребительского спроса,</w:t>
      </w:r>
      <w:r>
        <w:rPr>
          <w:rFonts w:ascii="Times New Roman" w:hAnsi="Times New Roman" w:cs="Times New Roman"/>
          <w:sz w:val="24"/>
          <w:szCs w:val="24"/>
        </w:rPr>
        <w:t xml:space="preserve"> торговая сеть представлена 112 объектами: 2 супермаркета и 110 магазинов,</w:t>
      </w:r>
      <w:r w:rsidR="005718B2">
        <w:rPr>
          <w:rFonts w:ascii="Times New Roman" w:hAnsi="Times New Roman" w:cs="Times New Roman"/>
          <w:sz w:val="24"/>
          <w:szCs w:val="24"/>
        </w:rPr>
        <w:t xml:space="preserve"> работает сеть </w:t>
      </w:r>
      <w:r>
        <w:rPr>
          <w:rFonts w:ascii="Times New Roman" w:hAnsi="Times New Roman" w:cs="Times New Roman"/>
          <w:sz w:val="24"/>
          <w:szCs w:val="24"/>
        </w:rPr>
        <w:t>общественного питания и бытового обслуживания</w:t>
      </w:r>
      <w:r w:rsidR="005718B2">
        <w:rPr>
          <w:rFonts w:ascii="Times New Roman" w:hAnsi="Times New Roman" w:cs="Times New Roman"/>
          <w:sz w:val="24"/>
          <w:szCs w:val="24"/>
        </w:rPr>
        <w:t>. Основным видом деятельности малого и среднего предпринимательства остается розничная торговля (38 индивидуальных предпринимателей и 5 организаций по розничной торговле).</w:t>
      </w:r>
      <w:r w:rsidR="002C1BCA">
        <w:rPr>
          <w:rFonts w:ascii="Times New Roman" w:hAnsi="Times New Roman" w:cs="Times New Roman"/>
          <w:sz w:val="24"/>
          <w:szCs w:val="24"/>
        </w:rPr>
        <w:t xml:space="preserve"> </w:t>
      </w:r>
      <w:r w:rsidR="002C1BCA" w:rsidRPr="002C1BCA">
        <w:rPr>
          <w:rFonts w:ascii="Times New Roman" w:hAnsi="Times New Roman" w:cs="Times New Roman"/>
          <w:sz w:val="24"/>
          <w:szCs w:val="24"/>
        </w:rPr>
        <w:t xml:space="preserve">Занятость трудоспособного населения на предприятиях составляет </w:t>
      </w:r>
      <w:r>
        <w:rPr>
          <w:rFonts w:ascii="Times New Roman" w:hAnsi="Times New Roman" w:cs="Times New Roman"/>
          <w:sz w:val="24"/>
          <w:szCs w:val="24"/>
        </w:rPr>
        <w:t>252 человека</w:t>
      </w:r>
      <w:r w:rsidR="002C1BCA" w:rsidRPr="002C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864" w:rsidRDefault="005718B2" w:rsidP="0057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Демографическая ситуация на территории городского поселения характеризуется увеличением естественной убыли населения. Численность населения на 01.01.2014 года согласно данным </w:t>
      </w:r>
      <w:r w:rsidRPr="000720E8">
        <w:rPr>
          <w:rFonts w:ascii="Times New Roman" w:hAnsi="Times New Roman" w:cs="Times New Roman"/>
          <w:sz w:val="24"/>
          <w:szCs w:val="24"/>
        </w:rPr>
        <w:t>Ирк</w:t>
      </w:r>
      <w:r w:rsidR="00F65384">
        <w:rPr>
          <w:rFonts w:ascii="Times New Roman" w:hAnsi="Times New Roman" w:cs="Times New Roman"/>
          <w:sz w:val="24"/>
          <w:szCs w:val="24"/>
        </w:rPr>
        <w:t>у</w:t>
      </w:r>
      <w:r w:rsidRPr="000720E8">
        <w:rPr>
          <w:rFonts w:ascii="Times New Roman" w:hAnsi="Times New Roman" w:cs="Times New Roman"/>
          <w:sz w:val="24"/>
          <w:szCs w:val="24"/>
        </w:rPr>
        <w:t xml:space="preserve">тскстата составила </w:t>
      </w:r>
      <w:r w:rsidR="0038582D">
        <w:rPr>
          <w:rFonts w:ascii="Times New Roman" w:hAnsi="Times New Roman" w:cs="Times New Roman"/>
          <w:sz w:val="24"/>
          <w:szCs w:val="24"/>
        </w:rPr>
        <w:t xml:space="preserve">9 </w:t>
      </w:r>
      <w:r w:rsidR="00852864">
        <w:rPr>
          <w:rFonts w:ascii="Times New Roman" w:hAnsi="Times New Roman" w:cs="Times New Roman"/>
          <w:sz w:val="24"/>
          <w:szCs w:val="24"/>
        </w:rPr>
        <w:t>732</w:t>
      </w:r>
      <w:r w:rsidRPr="000720E8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38582D">
        <w:rPr>
          <w:rFonts w:ascii="Times New Roman" w:hAnsi="Times New Roman" w:cs="Times New Roman"/>
          <w:sz w:val="24"/>
          <w:szCs w:val="24"/>
        </w:rPr>
        <w:t>112</w:t>
      </w:r>
      <w:r w:rsidRPr="000720E8">
        <w:rPr>
          <w:rFonts w:ascii="Times New Roman" w:hAnsi="Times New Roman" w:cs="Times New Roman"/>
          <w:sz w:val="24"/>
          <w:szCs w:val="24"/>
        </w:rPr>
        <w:t xml:space="preserve"> человек меньше, чем в 2013 году.</w:t>
      </w:r>
      <w:r w:rsidR="00852864">
        <w:rPr>
          <w:rFonts w:ascii="Times New Roman" w:hAnsi="Times New Roman" w:cs="Times New Roman"/>
          <w:sz w:val="24"/>
          <w:szCs w:val="24"/>
        </w:rPr>
        <w:t xml:space="preserve"> Основной причиной является миграция населения из поселка.</w:t>
      </w:r>
    </w:p>
    <w:p w:rsidR="005718B2" w:rsidRDefault="00852864" w:rsidP="0057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8B2" w:rsidRPr="000720E8">
        <w:rPr>
          <w:rFonts w:ascii="Times New Roman" w:hAnsi="Times New Roman" w:cs="Times New Roman"/>
          <w:sz w:val="24"/>
          <w:szCs w:val="24"/>
        </w:rPr>
        <w:t xml:space="preserve"> Уровень безработицы в поселении снизился и по состоянию на 01.01.2015 года составил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5718B2" w:rsidRPr="000720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18B2">
        <w:rPr>
          <w:rFonts w:ascii="Times New Roman" w:hAnsi="Times New Roman" w:cs="Times New Roman"/>
          <w:sz w:val="24"/>
          <w:szCs w:val="24"/>
        </w:rPr>
        <w:t xml:space="preserve">а или </w:t>
      </w:r>
      <w:r>
        <w:rPr>
          <w:rFonts w:ascii="Times New Roman" w:hAnsi="Times New Roman" w:cs="Times New Roman"/>
          <w:sz w:val="24"/>
          <w:szCs w:val="24"/>
        </w:rPr>
        <w:t>0,96</w:t>
      </w:r>
      <w:r w:rsidR="005718B2">
        <w:rPr>
          <w:rFonts w:ascii="Times New Roman" w:hAnsi="Times New Roman" w:cs="Times New Roman"/>
          <w:sz w:val="24"/>
          <w:szCs w:val="24"/>
        </w:rPr>
        <w:t>% по отношению к численности трудоспособного населения в количестве 2 137 человек.</w:t>
      </w:r>
      <w:r w:rsidR="005718B2" w:rsidRPr="000720E8">
        <w:rPr>
          <w:rFonts w:ascii="Times New Roman" w:hAnsi="Times New Roman" w:cs="Times New Roman"/>
          <w:sz w:val="24"/>
          <w:szCs w:val="24"/>
        </w:rPr>
        <w:t xml:space="preserve"> По данным Службы занятости населения Нижнеилимского района следует сделать вывод, что </w:t>
      </w:r>
      <w:r w:rsidR="005718B2">
        <w:rPr>
          <w:rFonts w:ascii="Times New Roman" w:hAnsi="Times New Roman" w:cs="Times New Roman"/>
          <w:sz w:val="24"/>
          <w:szCs w:val="24"/>
        </w:rPr>
        <w:t>в 2014 году в</w:t>
      </w:r>
      <w:r w:rsidR="005718B2" w:rsidRPr="000720E8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Новая Игирма</w:t>
      </w:r>
      <w:r w:rsidR="005718B2" w:rsidRPr="000720E8">
        <w:rPr>
          <w:rFonts w:ascii="Times New Roman" w:hAnsi="Times New Roman" w:cs="Times New Roman"/>
          <w:sz w:val="24"/>
          <w:szCs w:val="24"/>
        </w:rPr>
        <w:t xml:space="preserve">  существует тенденция снижения уровня безработицы. </w:t>
      </w:r>
    </w:p>
    <w:p w:rsidR="005718B2" w:rsidRPr="000720E8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8B2" w:rsidRDefault="007A2364" w:rsidP="0057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8B2">
        <w:rPr>
          <w:rFonts w:ascii="Times New Roman" w:hAnsi="Times New Roman" w:cs="Times New Roman"/>
          <w:sz w:val="24"/>
          <w:szCs w:val="24"/>
        </w:rPr>
        <w:t xml:space="preserve">  Решением Думы </w:t>
      </w:r>
      <w:r w:rsidR="00852864">
        <w:rPr>
          <w:rFonts w:ascii="Times New Roman" w:hAnsi="Times New Roman" w:cs="Times New Roman"/>
          <w:sz w:val="24"/>
          <w:szCs w:val="24"/>
        </w:rPr>
        <w:t>Новоигирминского</w:t>
      </w:r>
      <w:r w:rsidR="005718B2">
        <w:rPr>
          <w:rFonts w:ascii="Times New Roman" w:hAnsi="Times New Roman" w:cs="Times New Roman"/>
          <w:sz w:val="24"/>
          <w:szCs w:val="24"/>
        </w:rPr>
        <w:t xml:space="preserve"> городского поселения от 2</w:t>
      </w:r>
      <w:r w:rsidR="00852864">
        <w:rPr>
          <w:rFonts w:ascii="Times New Roman" w:hAnsi="Times New Roman" w:cs="Times New Roman"/>
          <w:sz w:val="24"/>
          <w:szCs w:val="24"/>
        </w:rPr>
        <w:t>3</w:t>
      </w:r>
      <w:r w:rsidR="005718B2">
        <w:rPr>
          <w:rFonts w:ascii="Times New Roman" w:hAnsi="Times New Roman" w:cs="Times New Roman"/>
          <w:sz w:val="24"/>
          <w:szCs w:val="24"/>
        </w:rPr>
        <w:t xml:space="preserve">.12.2013 № </w:t>
      </w:r>
      <w:r w:rsidR="00852864">
        <w:rPr>
          <w:rFonts w:ascii="Times New Roman" w:hAnsi="Times New Roman" w:cs="Times New Roman"/>
          <w:sz w:val="24"/>
          <w:szCs w:val="24"/>
        </w:rPr>
        <w:t>136</w:t>
      </w:r>
      <w:r w:rsidR="005718B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52864">
        <w:rPr>
          <w:rFonts w:ascii="Times New Roman" w:hAnsi="Times New Roman" w:cs="Times New Roman"/>
          <w:sz w:val="24"/>
          <w:szCs w:val="24"/>
        </w:rPr>
        <w:t>Новоигирминского</w:t>
      </w:r>
      <w:r w:rsidR="005718B2">
        <w:rPr>
          <w:rFonts w:ascii="Times New Roman" w:hAnsi="Times New Roman" w:cs="Times New Roman"/>
          <w:sz w:val="24"/>
          <w:szCs w:val="24"/>
        </w:rPr>
        <w:t xml:space="preserve"> городского поселения на 2014 год и на плановый период 2015 и 2016 годов» (далее – решение о бюджете) были утверждены на 2014 год основные характеристики бюджета поселения: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852864">
        <w:rPr>
          <w:rFonts w:ascii="Times New Roman" w:hAnsi="Times New Roman" w:cs="Times New Roman"/>
          <w:sz w:val="24"/>
          <w:szCs w:val="24"/>
        </w:rPr>
        <w:t>35 317,6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– </w:t>
      </w:r>
      <w:r w:rsidR="007A2364">
        <w:rPr>
          <w:rFonts w:ascii="Times New Roman" w:hAnsi="Times New Roman" w:cs="Times New Roman"/>
          <w:sz w:val="24"/>
          <w:szCs w:val="24"/>
        </w:rPr>
        <w:t>36 368,6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5718B2" w:rsidRPr="00E06224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 дефицит составил  </w:t>
      </w:r>
      <w:r w:rsidR="007A2364">
        <w:rPr>
          <w:rFonts w:ascii="Times New Roman" w:hAnsi="Times New Roman" w:cs="Times New Roman"/>
          <w:sz w:val="24"/>
          <w:szCs w:val="24"/>
        </w:rPr>
        <w:t>1 051,5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18B2" w:rsidRDefault="007A2364" w:rsidP="005718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8B2">
        <w:rPr>
          <w:rFonts w:ascii="Times New Roman" w:hAnsi="Times New Roman" w:cs="Times New Roman"/>
          <w:sz w:val="24"/>
          <w:szCs w:val="24"/>
        </w:rPr>
        <w:t xml:space="preserve">В ходе исполнения бюджета 2014 года в решение о бюджете </w:t>
      </w:r>
      <w:r w:rsidR="000E39BB">
        <w:rPr>
          <w:rFonts w:ascii="Times New Roman" w:hAnsi="Times New Roman" w:cs="Times New Roman"/>
          <w:sz w:val="24"/>
          <w:szCs w:val="24"/>
        </w:rPr>
        <w:t>5</w:t>
      </w:r>
      <w:r w:rsidR="005718B2">
        <w:rPr>
          <w:rFonts w:ascii="Times New Roman" w:hAnsi="Times New Roman" w:cs="Times New Roman"/>
          <w:sz w:val="24"/>
          <w:szCs w:val="24"/>
        </w:rPr>
        <w:t xml:space="preserve"> раз вносились изменения и дополнения. </w:t>
      </w:r>
      <w:r w:rsidR="005718B2" w:rsidRPr="006E1473">
        <w:rPr>
          <w:rFonts w:ascii="Times New Roman" w:hAnsi="Times New Roman" w:cs="Times New Roman"/>
          <w:sz w:val="24"/>
          <w:szCs w:val="24"/>
        </w:rPr>
        <w:t xml:space="preserve">С учетом вносимых корректировок окончательно был утвержден бюджет с общим объемом годовых назначений </w:t>
      </w:r>
      <w:r w:rsidR="005718B2">
        <w:rPr>
          <w:rFonts w:ascii="Times New Roman" w:hAnsi="Times New Roman" w:cs="Times New Roman"/>
          <w:sz w:val="24"/>
          <w:szCs w:val="24"/>
        </w:rPr>
        <w:t>доходной</w:t>
      </w:r>
      <w:r w:rsidR="005718B2" w:rsidRPr="006E1473">
        <w:rPr>
          <w:rFonts w:ascii="Times New Roman" w:hAnsi="Times New Roman" w:cs="Times New Roman"/>
          <w:sz w:val="24"/>
          <w:szCs w:val="24"/>
        </w:rPr>
        <w:t xml:space="preserve"> части в сумме </w:t>
      </w:r>
      <w:r w:rsidR="000E39BB">
        <w:rPr>
          <w:rFonts w:ascii="Times New Roman" w:hAnsi="Times New Roman" w:cs="Times New Roman"/>
          <w:sz w:val="24"/>
          <w:szCs w:val="24"/>
        </w:rPr>
        <w:t>51 366,5</w:t>
      </w:r>
      <w:r w:rsidR="005718B2" w:rsidRPr="006E147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718B2">
        <w:rPr>
          <w:rFonts w:ascii="Times New Roman" w:hAnsi="Times New Roman" w:cs="Times New Roman"/>
          <w:sz w:val="24"/>
          <w:szCs w:val="24"/>
        </w:rPr>
        <w:t>расходной</w:t>
      </w:r>
      <w:r w:rsidR="005718B2" w:rsidRPr="006E1473">
        <w:rPr>
          <w:rFonts w:ascii="Times New Roman" w:hAnsi="Times New Roman" w:cs="Times New Roman"/>
          <w:sz w:val="24"/>
          <w:szCs w:val="24"/>
        </w:rPr>
        <w:t xml:space="preserve"> части в сумме </w:t>
      </w:r>
      <w:r w:rsidR="000E39BB">
        <w:rPr>
          <w:rFonts w:ascii="Times New Roman" w:hAnsi="Times New Roman" w:cs="Times New Roman"/>
          <w:sz w:val="24"/>
          <w:szCs w:val="24"/>
        </w:rPr>
        <w:t>52 526,5</w:t>
      </w:r>
      <w:r w:rsidR="005718B2" w:rsidRPr="006E1473">
        <w:rPr>
          <w:rFonts w:ascii="Times New Roman" w:hAnsi="Times New Roman" w:cs="Times New Roman"/>
          <w:sz w:val="24"/>
          <w:szCs w:val="24"/>
        </w:rPr>
        <w:t xml:space="preserve"> тыс. рублей, дефицит бюджета </w:t>
      </w:r>
      <w:r w:rsidR="000E39B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718B2">
        <w:rPr>
          <w:rFonts w:ascii="Times New Roman" w:hAnsi="Times New Roman" w:cs="Times New Roman"/>
          <w:sz w:val="24"/>
          <w:szCs w:val="24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</w:rPr>
        <w:t>1 160</w:t>
      </w:r>
      <w:r w:rsidR="005718B2" w:rsidRPr="006E14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39BB">
        <w:rPr>
          <w:rFonts w:ascii="Times New Roman" w:hAnsi="Times New Roman" w:cs="Times New Roman"/>
          <w:sz w:val="24"/>
          <w:szCs w:val="24"/>
        </w:rPr>
        <w:t xml:space="preserve"> или 4% к утвержденному общему объему доходов поселения без учета утвержденного объема безвозмездных поступлений, что соответствует ст. 92.1 БК РФ</w:t>
      </w:r>
      <w:r w:rsidR="005718B2" w:rsidRPr="006E1473">
        <w:rPr>
          <w:rFonts w:ascii="Times New Roman" w:hAnsi="Times New Roman" w:cs="Times New Roman"/>
          <w:sz w:val="24"/>
          <w:szCs w:val="24"/>
        </w:rPr>
        <w:t>.</w:t>
      </w:r>
      <w:r w:rsidR="0057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94" w:rsidRPr="00BF765C" w:rsidRDefault="001C6A94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2848">
        <w:rPr>
          <w:rFonts w:ascii="Times New Roman" w:hAnsi="Times New Roman" w:cs="Times New Roman"/>
          <w:sz w:val="24"/>
          <w:szCs w:val="24"/>
        </w:rPr>
        <w:t>В</w:t>
      </w:r>
      <w:r w:rsidRPr="00BF765C">
        <w:rPr>
          <w:rFonts w:ascii="Times New Roman" w:hAnsi="Times New Roman" w:cs="Times New Roman"/>
          <w:sz w:val="24"/>
          <w:szCs w:val="24"/>
        </w:rPr>
        <w:t xml:space="preserve"> представленном проекте решения «Отчет об исполнении бюджета Новоигирминского сельского поселения за 2014 год»</w:t>
      </w:r>
      <w:r w:rsidR="00EB2848">
        <w:rPr>
          <w:rFonts w:ascii="Times New Roman" w:hAnsi="Times New Roman" w:cs="Times New Roman"/>
          <w:sz w:val="24"/>
          <w:szCs w:val="24"/>
        </w:rPr>
        <w:t>,</w:t>
      </w:r>
      <w:r w:rsidRPr="00BF765C">
        <w:rPr>
          <w:rFonts w:ascii="Times New Roman" w:hAnsi="Times New Roman" w:cs="Times New Roman"/>
          <w:sz w:val="24"/>
          <w:szCs w:val="24"/>
        </w:rPr>
        <w:t xml:space="preserve"> в нарушении ст. 264.6 БК РФ, наименования показателей проекта решения, приложений к нему, не соответствуют наименованиям, определенным указанной статьей, нумерация приложений определена в хаотичном порядке, не указаны показатели:</w:t>
      </w:r>
    </w:p>
    <w:p w:rsidR="001C6A94" w:rsidRPr="00BF765C" w:rsidRDefault="001C6A94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765C">
        <w:rPr>
          <w:rFonts w:ascii="Times New Roman" w:hAnsi="Times New Roman" w:cs="Times New Roman"/>
          <w:sz w:val="24"/>
          <w:szCs w:val="24"/>
        </w:rPr>
        <w:t>- доходы бюджета по кодам классификации доходов бюджета;</w:t>
      </w:r>
    </w:p>
    <w:p w:rsidR="001C6A94" w:rsidRPr="00BF765C" w:rsidRDefault="001C6A94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765C">
        <w:rPr>
          <w:rFonts w:ascii="Times New Roman" w:hAnsi="Times New Roman" w:cs="Times New Roman"/>
          <w:sz w:val="24"/>
          <w:szCs w:val="24"/>
        </w:rPr>
        <w:t>- расходы бюджета по разделам и подразделам классификации расходов бюджета;</w:t>
      </w:r>
    </w:p>
    <w:p w:rsidR="001C6A94" w:rsidRPr="00BF765C" w:rsidRDefault="001C6A94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по кодам классификации </w:t>
      </w:r>
      <w:r w:rsidRPr="00B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дефицитов бюджетов;</w:t>
      </w:r>
    </w:p>
    <w:p w:rsidR="001C6A94" w:rsidRDefault="001C6A94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765C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по кодам групп, подгрупп, статей, видов источников дефицитов бюджетов классификации операции сектора государственного управления, относящихся к источникам финансирования дефицита бюджета.</w:t>
      </w:r>
    </w:p>
    <w:p w:rsidR="00BF765C" w:rsidRPr="00BF765C" w:rsidRDefault="00BF765C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представленным материалам Финансовым управлением администрации Нижнеилимского муниципального района, исполняющим части полномочий по формированию, составлению и исполнению бюджета, данное нарушение устранено в ходе проведения экспертно-аналитического мероприятия.</w:t>
      </w:r>
    </w:p>
    <w:p w:rsidR="001C6A94" w:rsidRPr="00BF765C" w:rsidRDefault="001C6A94" w:rsidP="001C6A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765C">
        <w:rPr>
          <w:rFonts w:ascii="Times New Roman" w:hAnsi="Times New Roman" w:cs="Times New Roman"/>
          <w:sz w:val="24"/>
          <w:szCs w:val="24"/>
        </w:rPr>
        <w:lastRenderedPageBreak/>
        <w:t xml:space="preserve"> КСП района рекомендует, в преамбуле текстовой части проекта решения слова «Согласно БК РФ главы 25.1, положения о бюджетном процессе в Новоигирминском муниципальном образований, заслушав   главу  Новоигирминского городского поселения….» изложить в следующей редакции:</w:t>
      </w:r>
    </w:p>
    <w:p w:rsidR="001C6A94" w:rsidRDefault="001C6A94" w:rsidP="001C6A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765C">
        <w:rPr>
          <w:rFonts w:ascii="Times New Roman" w:hAnsi="Times New Roman" w:cs="Times New Roman"/>
          <w:sz w:val="24"/>
          <w:szCs w:val="24"/>
        </w:rPr>
        <w:t xml:space="preserve">          «В соответствии с главой 25.1 главой Бюджетного кодекса РФ, Положения о бюджетном процессе в муниципальном образовании «Новоигирминское  городское поселение», утвержденного Решением Думы Новоигирминского городского поселения от 21.02.2013г. № 88»</w:t>
      </w:r>
      <w:r w:rsidRPr="00BF765C">
        <w:rPr>
          <w:rFonts w:ascii="Times New Roman" w:hAnsi="Times New Roman" w:cs="Times New Roman"/>
          <w:sz w:val="24"/>
        </w:rPr>
        <w:t>.</w:t>
      </w:r>
    </w:p>
    <w:p w:rsidR="005718B2" w:rsidRDefault="00BF765C" w:rsidP="00BF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5718B2">
        <w:rPr>
          <w:rFonts w:ascii="Times New Roman" w:hAnsi="Times New Roman" w:cs="Times New Roman"/>
          <w:sz w:val="24"/>
          <w:szCs w:val="24"/>
        </w:rPr>
        <w:t>Исполнение бюджета поселения за 2014 год характеризуется следующими показателями (Таблица №1):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3"/>
        <w:tblW w:w="0" w:type="auto"/>
        <w:tblLook w:val="04A0"/>
      </w:tblPr>
      <w:tblGrid>
        <w:gridCol w:w="2617"/>
        <w:gridCol w:w="2169"/>
        <w:gridCol w:w="1724"/>
        <w:gridCol w:w="1964"/>
        <w:gridCol w:w="2090"/>
      </w:tblGrid>
      <w:tr w:rsidR="005718B2" w:rsidTr="009B640A">
        <w:tc>
          <w:tcPr>
            <w:tcW w:w="2617" w:type="dxa"/>
            <w:vMerge w:val="restart"/>
            <w:shd w:val="clear" w:color="auto" w:fill="D9D9D9" w:themeFill="background1" w:themeFillShade="D9"/>
          </w:tcPr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2169" w:type="dxa"/>
            <w:vMerge w:val="restart"/>
            <w:shd w:val="clear" w:color="auto" w:fill="D9D9D9" w:themeFill="background1" w:themeFillShade="D9"/>
          </w:tcPr>
          <w:p w:rsidR="005718B2" w:rsidRPr="00830899" w:rsidRDefault="005718B2" w:rsidP="00DD2E78">
            <w:pPr>
              <w:autoSpaceDE w:val="0"/>
              <w:autoSpaceDN w:val="0"/>
              <w:adjustRightInd w:val="0"/>
              <w:ind w:left="-65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Уточненные бюджетные назначения на 2014 год</w:t>
            </w:r>
          </w:p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8B2" w:rsidRPr="00DD2E78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E78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в 2014 году</w:t>
            </w:r>
          </w:p>
        </w:tc>
      </w:tr>
      <w:tr w:rsidR="005718B2" w:rsidTr="009B640A">
        <w:tc>
          <w:tcPr>
            <w:tcW w:w="2617" w:type="dxa"/>
            <w:vMerge/>
            <w:shd w:val="clear" w:color="auto" w:fill="D9D9D9" w:themeFill="background1" w:themeFillShade="D9"/>
          </w:tcPr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  <w:shd w:val="clear" w:color="auto" w:fill="D9D9D9" w:themeFill="background1" w:themeFillShade="D9"/>
          </w:tcPr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5718B2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</w:p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в тыс. руб.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тклонения от</w:t>
            </w:r>
          </w:p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утверж.бюджета 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-гр.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тыс. руб.</w:t>
            </w:r>
          </w:p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/гр.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%</w:t>
            </w:r>
          </w:p>
          <w:p w:rsidR="005718B2" w:rsidRPr="0083089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18B2" w:rsidTr="009B640A">
        <w:tc>
          <w:tcPr>
            <w:tcW w:w="2617" w:type="dxa"/>
            <w:shd w:val="clear" w:color="auto" w:fill="D9D9D9" w:themeFill="background1" w:themeFillShade="D9"/>
          </w:tcPr>
          <w:p w:rsidR="005718B2" w:rsidRPr="0006388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5718B2" w:rsidRPr="0006388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5718B2" w:rsidRPr="0006388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5718B2" w:rsidRPr="0006388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5718B2" w:rsidRPr="0006388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18B2" w:rsidTr="009B640A">
        <w:tc>
          <w:tcPr>
            <w:tcW w:w="2617" w:type="dxa"/>
          </w:tcPr>
          <w:p w:rsidR="00DD2E78" w:rsidRDefault="005718B2" w:rsidP="006472E6">
            <w:pPr>
              <w:autoSpaceDE w:val="0"/>
              <w:autoSpaceDN w:val="0"/>
              <w:adjustRightInd w:val="0"/>
              <w:ind w:right="-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доходов, </w:t>
            </w:r>
          </w:p>
          <w:p w:rsidR="005718B2" w:rsidRPr="00067F35" w:rsidRDefault="005718B2" w:rsidP="006472E6">
            <w:pPr>
              <w:autoSpaceDE w:val="0"/>
              <w:autoSpaceDN w:val="0"/>
              <w:adjustRightInd w:val="0"/>
              <w:ind w:right="-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169" w:type="dxa"/>
          </w:tcPr>
          <w:p w:rsidR="005718B2" w:rsidRPr="00067F35" w:rsidRDefault="009B640A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7D27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 w:rsidR="007D27B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724" w:type="dxa"/>
          </w:tcPr>
          <w:p w:rsidR="005718B2" w:rsidRPr="00067F35" w:rsidRDefault="00F5366A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49 800,2</w:t>
            </w:r>
            <w:r w:rsidR="005718B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64" w:type="dxa"/>
          </w:tcPr>
          <w:p w:rsidR="005718B2" w:rsidRPr="00063889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5366A">
              <w:rPr>
                <w:rFonts w:ascii="Times New Roman" w:hAnsi="Times New Roman" w:cs="Times New Roman"/>
                <w:sz w:val="18"/>
                <w:szCs w:val="18"/>
              </w:rPr>
              <w:t>1 566,3</w:t>
            </w:r>
          </w:p>
        </w:tc>
        <w:tc>
          <w:tcPr>
            <w:tcW w:w="2090" w:type="dxa"/>
          </w:tcPr>
          <w:p w:rsidR="005718B2" w:rsidRPr="00063889" w:rsidRDefault="007D27B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5718B2" w:rsidTr="009B640A">
        <w:tc>
          <w:tcPr>
            <w:tcW w:w="2617" w:type="dxa"/>
          </w:tcPr>
          <w:p w:rsidR="005718B2" w:rsidRPr="00067F35" w:rsidRDefault="005718B2" w:rsidP="006472E6">
            <w:pPr>
              <w:autoSpaceDE w:val="0"/>
              <w:autoSpaceDN w:val="0"/>
              <w:adjustRightInd w:val="0"/>
              <w:ind w:right="-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2169" w:type="dxa"/>
          </w:tcPr>
          <w:p w:rsidR="005718B2" w:rsidRPr="00067F35" w:rsidRDefault="00F5366A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22 604,5</w:t>
            </w:r>
          </w:p>
        </w:tc>
        <w:tc>
          <w:tcPr>
            <w:tcW w:w="1724" w:type="dxa"/>
          </w:tcPr>
          <w:p w:rsidR="005718B2" w:rsidRPr="00067F35" w:rsidRDefault="00F5366A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22 592,5**</w:t>
            </w:r>
          </w:p>
        </w:tc>
        <w:tc>
          <w:tcPr>
            <w:tcW w:w="1964" w:type="dxa"/>
          </w:tcPr>
          <w:p w:rsidR="005718B2" w:rsidRPr="00063889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366A">
              <w:rPr>
                <w:rFonts w:ascii="Times New Roman" w:hAnsi="Times New Roman" w:cs="Times New Roman"/>
                <w:sz w:val="18"/>
                <w:szCs w:val="18"/>
              </w:rPr>
              <w:t xml:space="preserve"> 11 996,39</w:t>
            </w:r>
          </w:p>
        </w:tc>
        <w:tc>
          <w:tcPr>
            <w:tcW w:w="2090" w:type="dxa"/>
          </w:tcPr>
          <w:p w:rsidR="005718B2" w:rsidRPr="00063889" w:rsidRDefault="007D27B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718B2" w:rsidTr="009B640A">
        <w:trPr>
          <w:trHeight w:val="144"/>
        </w:trPr>
        <w:tc>
          <w:tcPr>
            <w:tcW w:w="2617" w:type="dxa"/>
          </w:tcPr>
          <w:p w:rsidR="005718B2" w:rsidRPr="00DD7651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расходов</w:t>
            </w:r>
          </w:p>
          <w:p w:rsidR="005718B2" w:rsidRPr="00067F35" w:rsidRDefault="005718B2" w:rsidP="006472E6">
            <w:pPr>
              <w:autoSpaceDE w:val="0"/>
              <w:autoSpaceDN w:val="0"/>
              <w:adjustRightInd w:val="0"/>
              <w:ind w:right="-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5718B2" w:rsidRPr="00067F35" w:rsidRDefault="00F5366A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52 526,5*</w:t>
            </w:r>
          </w:p>
        </w:tc>
        <w:tc>
          <w:tcPr>
            <w:tcW w:w="1724" w:type="dxa"/>
          </w:tcPr>
          <w:p w:rsidR="005718B2" w:rsidRPr="00067F35" w:rsidRDefault="00F5366A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49 534,5</w:t>
            </w:r>
            <w:r w:rsidR="007D27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964" w:type="dxa"/>
          </w:tcPr>
          <w:p w:rsidR="005718B2" w:rsidRPr="00063889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5366A">
              <w:rPr>
                <w:rFonts w:ascii="Times New Roman" w:hAnsi="Times New Roman" w:cs="Times New Roman"/>
                <w:sz w:val="18"/>
                <w:szCs w:val="18"/>
              </w:rPr>
              <w:t>2 991,9</w:t>
            </w:r>
          </w:p>
        </w:tc>
        <w:tc>
          <w:tcPr>
            <w:tcW w:w="2090" w:type="dxa"/>
          </w:tcPr>
          <w:p w:rsidR="005718B2" w:rsidRPr="00063889" w:rsidRDefault="007D27B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5718B2" w:rsidTr="009B640A">
        <w:trPr>
          <w:trHeight w:val="562"/>
        </w:trPr>
        <w:tc>
          <w:tcPr>
            <w:tcW w:w="2617" w:type="dxa"/>
          </w:tcPr>
          <w:p w:rsidR="005718B2" w:rsidRPr="00DD7651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Дефицит (-)</w:t>
            </w:r>
          </w:p>
          <w:p w:rsidR="005718B2" w:rsidRPr="00DD7651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</w:tc>
        <w:tc>
          <w:tcPr>
            <w:tcW w:w="2169" w:type="dxa"/>
          </w:tcPr>
          <w:p w:rsidR="005718B2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27B4">
              <w:rPr>
                <w:rFonts w:ascii="Times New Roman" w:hAnsi="Times New Roman" w:cs="Times New Roman"/>
                <w:sz w:val="18"/>
                <w:szCs w:val="18"/>
              </w:rPr>
              <w:t>1 160</w:t>
            </w:r>
          </w:p>
          <w:p w:rsidR="005718B2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8B2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8B2" w:rsidRPr="00067F35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</w:tcPr>
          <w:p w:rsidR="005718B2" w:rsidRDefault="007D27B4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+265,7**</w:t>
            </w:r>
          </w:p>
          <w:p w:rsidR="005718B2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8B2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8B2" w:rsidRPr="00067F35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718B2" w:rsidRPr="00063889" w:rsidRDefault="005718B2" w:rsidP="00F5366A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5718B2" w:rsidRPr="00063889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5366A" w:rsidRPr="00F5366A">
        <w:rPr>
          <w:rFonts w:ascii="Times New Roman" w:hAnsi="Times New Roman" w:cs="Times New Roman"/>
          <w:sz w:val="18"/>
          <w:szCs w:val="18"/>
        </w:rPr>
        <w:t>уточненные</w:t>
      </w:r>
      <w:r w:rsidR="00F5366A">
        <w:rPr>
          <w:rFonts w:ascii="Times New Roman" w:hAnsi="Times New Roman" w:cs="Times New Roman"/>
          <w:sz w:val="24"/>
          <w:szCs w:val="24"/>
        </w:rPr>
        <w:t xml:space="preserve"> </w:t>
      </w:r>
      <w:r w:rsidRPr="00E01C34">
        <w:rPr>
          <w:rFonts w:ascii="Times New Roman" w:hAnsi="Times New Roman" w:cs="Times New Roman"/>
          <w:sz w:val="18"/>
          <w:szCs w:val="18"/>
        </w:rPr>
        <w:t xml:space="preserve">бюджетные </w:t>
      </w:r>
      <w:r>
        <w:rPr>
          <w:rFonts w:ascii="Times New Roman" w:hAnsi="Times New Roman" w:cs="Times New Roman"/>
          <w:sz w:val="18"/>
          <w:szCs w:val="18"/>
        </w:rPr>
        <w:t xml:space="preserve">назначения </w:t>
      </w:r>
      <w:r w:rsidRPr="00E01C34">
        <w:rPr>
          <w:rFonts w:ascii="Times New Roman" w:hAnsi="Times New Roman" w:cs="Times New Roman"/>
          <w:sz w:val="18"/>
          <w:szCs w:val="18"/>
        </w:rPr>
        <w:t xml:space="preserve">сформированы в соответствии с </w:t>
      </w:r>
      <w:r>
        <w:rPr>
          <w:rFonts w:ascii="Times New Roman" w:hAnsi="Times New Roman" w:cs="Times New Roman"/>
          <w:sz w:val="18"/>
          <w:szCs w:val="18"/>
        </w:rPr>
        <w:t>показателями</w:t>
      </w:r>
      <w:r w:rsidRPr="00E01C34">
        <w:rPr>
          <w:rFonts w:ascii="Times New Roman" w:hAnsi="Times New Roman" w:cs="Times New Roman"/>
          <w:sz w:val="18"/>
          <w:szCs w:val="18"/>
        </w:rPr>
        <w:t xml:space="preserve"> ф. 0503117 «Отчет об исполнении бюджета» консолидированной годовой бюджетной отчетности </w:t>
      </w:r>
      <w:r w:rsidR="00F5366A">
        <w:rPr>
          <w:rFonts w:ascii="Times New Roman" w:hAnsi="Times New Roman" w:cs="Times New Roman"/>
          <w:sz w:val="18"/>
          <w:szCs w:val="18"/>
        </w:rPr>
        <w:t>Новоигирминского</w:t>
      </w:r>
      <w:r w:rsidRPr="00E01C34">
        <w:rPr>
          <w:rFonts w:ascii="Times New Roman" w:hAnsi="Times New Roman" w:cs="Times New Roman"/>
          <w:sz w:val="18"/>
          <w:szCs w:val="18"/>
        </w:rPr>
        <w:t xml:space="preserve"> МО</w:t>
      </w:r>
      <w:r w:rsidR="00F5366A">
        <w:rPr>
          <w:rFonts w:ascii="Times New Roman" w:hAnsi="Times New Roman" w:cs="Times New Roman"/>
          <w:sz w:val="18"/>
          <w:szCs w:val="18"/>
        </w:rPr>
        <w:t>;</w:t>
      </w:r>
    </w:p>
    <w:p w:rsidR="00F5366A" w:rsidRDefault="00F5366A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**бюджетные назначения </w:t>
      </w:r>
      <w:r w:rsidRPr="00E01C34">
        <w:rPr>
          <w:rFonts w:ascii="Times New Roman" w:hAnsi="Times New Roman" w:cs="Times New Roman"/>
          <w:sz w:val="18"/>
          <w:szCs w:val="18"/>
        </w:rPr>
        <w:t xml:space="preserve">сформированы в соответствии с </w:t>
      </w:r>
      <w:r>
        <w:rPr>
          <w:rFonts w:ascii="Times New Roman" w:hAnsi="Times New Roman" w:cs="Times New Roman"/>
          <w:sz w:val="18"/>
          <w:szCs w:val="18"/>
        </w:rPr>
        <w:t>показателями</w:t>
      </w:r>
      <w:r w:rsidRPr="00E01C34">
        <w:rPr>
          <w:rFonts w:ascii="Times New Roman" w:hAnsi="Times New Roman" w:cs="Times New Roman"/>
          <w:sz w:val="18"/>
          <w:szCs w:val="18"/>
        </w:rPr>
        <w:t xml:space="preserve"> ф. 0503117 «Отчет об исполнении бюджета» консолидированной годовой бюджетной отчетности </w:t>
      </w:r>
      <w:r>
        <w:rPr>
          <w:rFonts w:ascii="Times New Roman" w:hAnsi="Times New Roman" w:cs="Times New Roman"/>
          <w:sz w:val="18"/>
          <w:szCs w:val="18"/>
        </w:rPr>
        <w:t>Новоигирминского</w:t>
      </w:r>
      <w:r w:rsidRPr="00E01C34">
        <w:rPr>
          <w:rFonts w:ascii="Times New Roman" w:hAnsi="Times New Roman" w:cs="Times New Roman"/>
          <w:sz w:val="18"/>
          <w:szCs w:val="18"/>
        </w:rPr>
        <w:t xml:space="preserve"> МО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D3DE6">
        <w:rPr>
          <w:rFonts w:ascii="Times New Roman" w:hAnsi="Times New Roman" w:cs="Times New Roman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sz w:val="24"/>
          <w:szCs w:val="24"/>
        </w:rPr>
        <w:t xml:space="preserve">  ГП исполнен в 2014 году с </w:t>
      </w:r>
      <w:r w:rsidR="005D3DE6">
        <w:rPr>
          <w:rFonts w:ascii="Times New Roman" w:hAnsi="Times New Roman" w:cs="Times New Roman"/>
          <w:sz w:val="24"/>
          <w:szCs w:val="24"/>
        </w:rPr>
        <w:t>профицитом</w:t>
      </w:r>
      <w:r>
        <w:rPr>
          <w:rFonts w:ascii="Times New Roman" w:hAnsi="Times New Roman" w:cs="Times New Roman"/>
          <w:sz w:val="24"/>
          <w:szCs w:val="24"/>
        </w:rPr>
        <w:t xml:space="preserve"> – с превышением </w:t>
      </w:r>
      <w:r w:rsidR="005D3DE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ходов над </w:t>
      </w:r>
      <w:r w:rsidR="005D3DE6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ходами в сумме </w:t>
      </w:r>
      <w:r w:rsidR="005D3DE6">
        <w:rPr>
          <w:rFonts w:ascii="Times New Roman" w:hAnsi="Times New Roman" w:cs="Times New Roman"/>
          <w:sz w:val="24"/>
          <w:szCs w:val="24"/>
        </w:rPr>
        <w:t xml:space="preserve">265,7 </w:t>
      </w:r>
      <w:r>
        <w:rPr>
          <w:rFonts w:ascii="Times New Roman" w:hAnsi="Times New Roman" w:cs="Times New Roman"/>
          <w:sz w:val="24"/>
          <w:szCs w:val="24"/>
        </w:rPr>
        <w:t xml:space="preserve">тыс. рублей. Доходы исполнены в сумме </w:t>
      </w:r>
      <w:r w:rsidR="005D3DE6">
        <w:rPr>
          <w:rFonts w:ascii="Times New Roman" w:hAnsi="Times New Roman" w:cs="Times New Roman"/>
          <w:sz w:val="24"/>
          <w:szCs w:val="24"/>
        </w:rPr>
        <w:t>49 800,2</w:t>
      </w:r>
      <w:r w:rsidR="00F6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5D3DE6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%</w:t>
      </w:r>
      <w:r w:rsidR="00DD2E78">
        <w:rPr>
          <w:rFonts w:ascii="Times New Roman" w:hAnsi="Times New Roman" w:cs="Times New Roman"/>
          <w:sz w:val="24"/>
          <w:szCs w:val="24"/>
        </w:rPr>
        <w:t xml:space="preserve"> от утвержденных бюджетных назначений на 2014 год</w:t>
      </w:r>
      <w:r>
        <w:rPr>
          <w:rFonts w:ascii="Times New Roman" w:hAnsi="Times New Roman" w:cs="Times New Roman"/>
          <w:sz w:val="24"/>
          <w:szCs w:val="24"/>
        </w:rPr>
        <w:t xml:space="preserve">, расходы – в сумме </w:t>
      </w:r>
      <w:r w:rsidR="005D3DE6">
        <w:rPr>
          <w:rFonts w:ascii="Times New Roman" w:hAnsi="Times New Roman" w:cs="Times New Roman"/>
          <w:sz w:val="24"/>
          <w:szCs w:val="24"/>
        </w:rPr>
        <w:t>49 534,5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5D3DE6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% от утвержденных показателей бюджета поселения.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Остаток средств на </w:t>
      </w:r>
      <w:r w:rsidRPr="000062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0062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0062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Новоигирминского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ГП на конец отчетного периода составил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490,1 тыс.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рублей.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Контрольно-счетная палата отмечает, что в отчете об исполнении бюджета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Новоигирминского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ГП за 2014 год неверно отражен</w:t>
      </w:r>
      <w:r w:rsidR="006A5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сумма бюджетных назначений по доходам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бюджетной классификации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000 20202999000000 151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наименованию платежа «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 бюджетам 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отражено в сумме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10 565,9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рублей, следует указать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10 553,9</w:t>
      </w:r>
      <w:r w:rsidRPr="004D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(несоответствие составило 12 тыс. рублей), что повлекло</w:t>
      </w:r>
      <w:r w:rsidR="0098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 w:rsidR="00FC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точный </w:t>
      </w:r>
      <w:r w:rsidR="005D3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 профицита бюджета поселения</w:t>
      </w:r>
      <w:r w:rsidR="00FC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(несоответствие – 12 тыс. рублей).</w:t>
      </w:r>
    </w:p>
    <w:p w:rsidR="00755BAC" w:rsidRPr="00755BAC" w:rsidRDefault="00755BAC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проверки данное нарушение устранено.</w:t>
      </w:r>
      <w:r w:rsidRPr="00755BA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>Динамику исполнения бюджета поселения можно проследить по годам</w:t>
      </w:r>
      <w:r>
        <w:rPr>
          <w:rFonts w:ascii="Times New Roman" w:hAnsi="Times New Roman" w:cs="Times New Roman"/>
          <w:sz w:val="24"/>
          <w:szCs w:val="24"/>
        </w:rPr>
        <w:t xml:space="preserve"> (Рисунок № 1).</w:t>
      </w:r>
    </w:p>
    <w:p w:rsidR="005718B2" w:rsidRPr="00EF1632" w:rsidRDefault="005718B2" w:rsidP="005718B2">
      <w:pPr>
        <w:keepNext/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Рисунок № 1</w:t>
      </w:r>
    </w:p>
    <w:p w:rsidR="005718B2" w:rsidRPr="00EF1632" w:rsidRDefault="005718B2" w:rsidP="005718B2">
      <w:pPr>
        <w:keepNext/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(тыс. рублей).</w:t>
      </w:r>
    </w:p>
    <w:p w:rsidR="005718B2" w:rsidRPr="00006B0A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899" cy="2344903"/>
            <wp:effectExtent l="19050" t="0" r="20401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 w:rsidRPr="00095D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49">
        <w:rPr>
          <w:rFonts w:ascii="Times New Roman" w:hAnsi="Times New Roman" w:cs="Times New Roman"/>
          <w:bCs/>
          <w:sz w:val="24"/>
          <w:szCs w:val="24"/>
        </w:rPr>
        <w:t xml:space="preserve">В 2014 году, как и в прошлые годы, </w:t>
      </w:r>
      <w:r w:rsidR="005820EF">
        <w:rPr>
          <w:rFonts w:ascii="Times New Roman" w:hAnsi="Times New Roman" w:cs="Times New Roman"/>
          <w:bCs/>
          <w:sz w:val="24"/>
          <w:szCs w:val="24"/>
        </w:rPr>
        <w:t xml:space="preserve">одним из </w:t>
      </w:r>
      <w:r w:rsidRPr="00095D49">
        <w:rPr>
          <w:rFonts w:ascii="Times New Roman" w:hAnsi="Times New Roman" w:cs="Times New Roman"/>
          <w:bCs/>
          <w:sz w:val="24"/>
          <w:szCs w:val="24"/>
        </w:rPr>
        <w:t>основны</w:t>
      </w:r>
      <w:r w:rsidR="005820EF">
        <w:rPr>
          <w:rFonts w:ascii="Times New Roman" w:hAnsi="Times New Roman" w:cs="Times New Roman"/>
          <w:bCs/>
          <w:sz w:val="24"/>
          <w:szCs w:val="24"/>
        </w:rPr>
        <w:t>х</w:t>
      </w:r>
      <w:r w:rsidRPr="00095D49">
        <w:rPr>
          <w:rFonts w:ascii="Times New Roman" w:hAnsi="Times New Roman" w:cs="Times New Roman"/>
          <w:bCs/>
          <w:sz w:val="24"/>
          <w:szCs w:val="24"/>
        </w:rPr>
        <w:t xml:space="preserve"> источник</w:t>
      </w:r>
      <w:r w:rsidR="005820EF">
        <w:rPr>
          <w:rFonts w:ascii="Times New Roman" w:hAnsi="Times New Roman" w:cs="Times New Roman"/>
          <w:bCs/>
          <w:sz w:val="24"/>
          <w:szCs w:val="24"/>
        </w:rPr>
        <w:t>ов</w:t>
      </w:r>
      <w:r w:rsidRPr="00095D49">
        <w:rPr>
          <w:rFonts w:ascii="Times New Roman" w:hAnsi="Times New Roman" w:cs="Times New Roman"/>
          <w:bCs/>
          <w:sz w:val="24"/>
          <w:szCs w:val="24"/>
        </w:rPr>
        <w:t xml:space="preserve"> доходов бюджета поселения являются безвозмездные поступления от других бюджетов бюджетной системы РФ (Таблица № 1).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 1.</w:t>
      </w:r>
    </w:p>
    <w:p w:rsidR="005718B2" w:rsidRPr="00095D49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tbl>
      <w:tblPr>
        <w:tblStyle w:val="a3"/>
        <w:tblW w:w="0" w:type="auto"/>
        <w:tblInd w:w="108" w:type="dxa"/>
        <w:tblLook w:val="04A0"/>
      </w:tblPr>
      <w:tblGrid>
        <w:gridCol w:w="1839"/>
        <w:gridCol w:w="1191"/>
        <w:gridCol w:w="1527"/>
        <w:gridCol w:w="1477"/>
        <w:gridCol w:w="1481"/>
        <w:gridCol w:w="1520"/>
        <w:gridCol w:w="1421"/>
      </w:tblGrid>
      <w:tr w:rsidR="005718B2" w:rsidTr="00643DD5">
        <w:trPr>
          <w:trHeight w:val="420"/>
        </w:trPr>
        <w:tc>
          <w:tcPr>
            <w:tcW w:w="1839" w:type="dxa"/>
            <w:vMerge w:val="restart"/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</w:tcPr>
          <w:p w:rsidR="00DD2E78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Исполнено </w:t>
            </w:r>
          </w:p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2013 году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Уточненные бюджетные</w:t>
            </w:r>
          </w:p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назначения</w:t>
            </w:r>
          </w:p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sz w:val="18"/>
                <w:szCs w:val="18"/>
              </w:rPr>
              <w:t>на 2014 год</w:t>
            </w:r>
          </w:p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Исполнение,</w:t>
            </w:r>
          </w:p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3407F2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  <w:p w:rsidR="005718B2" w:rsidRPr="002C14CC" w:rsidRDefault="005718B2" w:rsidP="003407F2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уровню 2013 года</w:t>
            </w:r>
          </w:p>
        </w:tc>
      </w:tr>
      <w:tr w:rsidR="005718B2" w:rsidTr="00643DD5">
        <w:trPr>
          <w:trHeight w:val="605"/>
        </w:trPr>
        <w:tc>
          <w:tcPr>
            <w:tcW w:w="1839" w:type="dxa"/>
            <w:vMerge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 в общем объеме доходов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3DD5" w:rsidRPr="00930393" w:rsidTr="00643DD5">
        <w:tc>
          <w:tcPr>
            <w:tcW w:w="1839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91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14 928</w:t>
            </w:r>
          </w:p>
        </w:tc>
        <w:tc>
          <w:tcPr>
            <w:tcW w:w="1527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23 115</w:t>
            </w:r>
          </w:p>
        </w:tc>
        <w:tc>
          <w:tcPr>
            <w:tcW w:w="1477" w:type="dxa"/>
          </w:tcPr>
          <w:p w:rsidR="00643DD5" w:rsidRPr="002C14CC" w:rsidRDefault="00643DD5" w:rsidP="00F61AC4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22 727,3</w:t>
            </w:r>
          </w:p>
        </w:tc>
        <w:tc>
          <w:tcPr>
            <w:tcW w:w="1481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45,6</w:t>
            </w:r>
          </w:p>
        </w:tc>
        <w:tc>
          <w:tcPr>
            <w:tcW w:w="1520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421" w:type="dxa"/>
          </w:tcPr>
          <w:p w:rsidR="00643DD5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152</w:t>
            </w:r>
          </w:p>
        </w:tc>
      </w:tr>
      <w:tr w:rsidR="00643DD5" w:rsidTr="00643DD5">
        <w:tc>
          <w:tcPr>
            <w:tcW w:w="1839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91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2930</w:t>
            </w:r>
          </w:p>
        </w:tc>
        <w:tc>
          <w:tcPr>
            <w:tcW w:w="1527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5 647</w:t>
            </w:r>
          </w:p>
        </w:tc>
        <w:tc>
          <w:tcPr>
            <w:tcW w:w="1477" w:type="dxa"/>
          </w:tcPr>
          <w:p w:rsidR="00643DD5" w:rsidRPr="002C14CC" w:rsidRDefault="00643DD5" w:rsidP="00F61AC4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4 480,4</w:t>
            </w:r>
          </w:p>
        </w:tc>
        <w:tc>
          <w:tcPr>
            <w:tcW w:w="1481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520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421" w:type="dxa"/>
          </w:tcPr>
          <w:p w:rsidR="00643DD5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</w:tr>
      <w:tr w:rsidR="00643DD5" w:rsidTr="00643DD5">
        <w:tc>
          <w:tcPr>
            <w:tcW w:w="1839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(налоговые и неналоговые доходы)</w:t>
            </w:r>
          </w:p>
        </w:tc>
        <w:tc>
          <w:tcPr>
            <w:tcW w:w="1191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17 858</w:t>
            </w:r>
          </w:p>
        </w:tc>
        <w:tc>
          <w:tcPr>
            <w:tcW w:w="1527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28 762</w:t>
            </w:r>
          </w:p>
        </w:tc>
        <w:tc>
          <w:tcPr>
            <w:tcW w:w="1477" w:type="dxa"/>
          </w:tcPr>
          <w:p w:rsidR="00643DD5" w:rsidRPr="002C14CC" w:rsidRDefault="00643DD5" w:rsidP="00F61AC4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27 207,7</w:t>
            </w:r>
          </w:p>
        </w:tc>
        <w:tc>
          <w:tcPr>
            <w:tcW w:w="1481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1520" w:type="dxa"/>
          </w:tcPr>
          <w:p w:rsidR="00643DD5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1421" w:type="dxa"/>
          </w:tcPr>
          <w:p w:rsidR="00643DD5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152,4</w:t>
            </w:r>
          </w:p>
        </w:tc>
      </w:tr>
      <w:tr w:rsidR="005718B2" w:rsidTr="00643DD5">
        <w:tc>
          <w:tcPr>
            <w:tcW w:w="1839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Дотация</w:t>
            </w:r>
          </w:p>
        </w:tc>
        <w:tc>
          <w:tcPr>
            <w:tcW w:w="1191" w:type="dxa"/>
          </w:tcPr>
          <w:p w:rsidR="005718B2" w:rsidRPr="002C14CC" w:rsidRDefault="005820EF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15 692</w:t>
            </w:r>
          </w:p>
        </w:tc>
        <w:tc>
          <w:tcPr>
            <w:tcW w:w="152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10 590,1</w:t>
            </w:r>
          </w:p>
        </w:tc>
        <w:tc>
          <w:tcPr>
            <w:tcW w:w="147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10 590,1</w:t>
            </w:r>
          </w:p>
        </w:tc>
        <w:tc>
          <w:tcPr>
            <w:tcW w:w="1481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520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21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</w:tr>
      <w:tr w:rsidR="005718B2" w:rsidTr="00643DD5">
        <w:tc>
          <w:tcPr>
            <w:tcW w:w="1839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</w:t>
            </w:r>
          </w:p>
        </w:tc>
        <w:tc>
          <w:tcPr>
            <w:tcW w:w="1191" w:type="dxa"/>
          </w:tcPr>
          <w:p w:rsidR="005718B2" w:rsidRPr="002C14CC" w:rsidRDefault="005820EF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14 019</w:t>
            </w:r>
          </w:p>
        </w:tc>
        <w:tc>
          <w:tcPr>
            <w:tcW w:w="152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10 565,9</w:t>
            </w:r>
          </w:p>
        </w:tc>
        <w:tc>
          <w:tcPr>
            <w:tcW w:w="147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10 553,9*</w:t>
            </w:r>
          </w:p>
        </w:tc>
        <w:tc>
          <w:tcPr>
            <w:tcW w:w="1481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21,2</w:t>
            </w:r>
          </w:p>
        </w:tc>
        <w:tc>
          <w:tcPr>
            <w:tcW w:w="1520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21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</w:tr>
      <w:tr w:rsidR="005718B2" w:rsidTr="00643DD5">
        <w:tc>
          <w:tcPr>
            <w:tcW w:w="1839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1" w:type="dxa"/>
          </w:tcPr>
          <w:p w:rsidR="005718B2" w:rsidRPr="002C14CC" w:rsidRDefault="005820EF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47 569</w:t>
            </w:r>
          </w:p>
        </w:tc>
        <w:tc>
          <w:tcPr>
            <w:tcW w:w="152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49 918</w:t>
            </w:r>
          </w:p>
        </w:tc>
        <w:tc>
          <w:tcPr>
            <w:tcW w:w="147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48 351,7</w:t>
            </w:r>
          </w:p>
        </w:tc>
        <w:tc>
          <w:tcPr>
            <w:tcW w:w="1481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520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421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</w:tr>
      <w:tr w:rsidR="005718B2" w:rsidTr="00643DD5">
        <w:tc>
          <w:tcPr>
            <w:tcW w:w="1839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</w:t>
            </w:r>
          </w:p>
        </w:tc>
        <w:tc>
          <w:tcPr>
            <w:tcW w:w="1191" w:type="dxa"/>
          </w:tcPr>
          <w:p w:rsidR="005718B2" w:rsidRPr="002C14CC" w:rsidRDefault="005820EF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902</w:t>
            </w:r>
          </w:p>
        </w:tc>
        <w:tc>
          <w:tcPr>
            <w:tcW w:w="152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968,5</w:t>
            </w:r>
          </w:p>
        </w:tc>
        <w:tc>
          <w:tcPr>
            <w:tcW w:w="147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968,5</w:t>
            </w:r>
          </w:p>
        </w:tc>
        <w:tc>
          <w:tcPr>
            <w:tcW w:w="1481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1520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21" w:type="dxa"/>
          </w:tcPr>
          <w:p w:rsidR="005718B2" w:rsidRPr="002C14CC" w:rsidRDefault="005718B2" w:rsidP="00F61AC4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61AC4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</w:tr>
      <w:tr w:rsidR="005718B2" w:rsidTr="00643DD5">
        <w:tc>
          <w:tcPr>
            <w:tcW w:w="1839" w:type="dxa"/>
          </w:tcPr>
          <w:p w:rsidR="005718B2" w:rsidRPr="00370F4F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0F4F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МБТ</w:t>
            </w:r>
          </w:p>
        </w:tc>
        <w:tc>
          <w:tcPr>
            <w:tcW w:w="1191" w:type="dxa"/>
          </w:tcPr>
          <w:p w:rsidR="005718B2" w:rsidRPr="00370F4F" w:rsidRDefault="005820EF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</w:t>
            </w:r>
          </w:p>
        </w:tc>
        <w:tc>
          <w:tcPr>
            <w:tcW w:w="1527" w:type="dxa"/>
          </w:tcPr>
          <w:p w:rsidR="005718B2" w:rsidRPr="00370F4F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480</w:t>
            </w:r>
          </w:p>
        </w:tc>
        <w:tc>
          <w:tcPr>
            <w:tcW w:w="1477" w:type="dxa"/>
          </w:tcPr>
          <w:p w:rsidR="005718B2" w:rsidRPr="00370F4F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480</w:t>
            </w:r>
          </w:p>
        </w:tc>
        <w:tc>
          <w:tcPr>
            <w:tcW w:w="1481" w:type="dxa"/>
          </w:tcPr>
          <w:p w:rsidR="005718B2" w:rsidRPr="00370F4F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520" w:type="dxa"/>
          </w:tcPr>
          <w:p w:rsidR="005718B2" w:rsidRPr="00370F4F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21" w:type="dxa"/>
          </w:tcPr>
          <w:p w:rsidR="005718B2" w:rsidRPr="00370F4F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</w:t>
            </w:r>
          </w:p>
        </w:tc>
      </w:tr>
      <w:tr w:rsidR="005718B2" w:rsidTr="00643DD5">
        <w:tc>
          <w:tcPr>
            <w:tcW w:w="1839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субсидий, субвенции, МБТ</w:t>
            </w:r>
          </w:p>
        </w:tc>
        <w:tc>
          <w:tcPr>
            <w:tcW w:w="1191" w:type="dxa"/>
          </w:tcPr>
          <w:p w:rsidR="005718B2" w:rsidRPr="002C14CC" w:rsidRDefault="005820EF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-643</w:t>
            </w:r>
          </w:p>
        </w:tc>
        <w:tc>
          <w:tcPr>
            <w:tcW w:w="1527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20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5718B2" w:rsidTr="00643DD5">
        <w:tc>
          <w:tcPr>
            <w:tcW w:w="1839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91" w:type="dxa"/>
          </w:tcPr>
          <w:p w:rsidR="005718B2" w:rsidRPr="002C14CC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39 823</w:t>
            </w:r>
          </w:p>
        </w:tc>
        <w:tc>
          <w:tcPr>
            <w:tcW w:w="152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51 366,5</w:t>
            </w:r>
          </w:p>
        </w:tc>
        <w:tc>
          <w:tcPr>
            <w:tcW w:w="1477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49 800,2</w:t>
            </w:r>
            <w:r w:rsidR="00571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1" w:type="dxa"/>
          </w:tcPr>
          <w:p w:rsidR="005718B2" w:rsidRPr="002C14CC" w:rsidRDefault="00643DD5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20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421" w:type="dxa"/>
          </w:tcPr>
          <w:p w:rsidR="005718B2" w:rsidRPr="002C14CC" w:rsidRDefault="00F61AC4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</w:tr>
    </w:tbl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01C34">
        <w:rPr>
          <w:rFonts w:ascii="Times New Roman" w:hAnsi="Times New Roman" w:cs="Times New Roman"/>
          <w:sz w:val="18"/>
          <w:szCs w:val="18"/>
        </w:rPr>
        <w:t xml:space="preserve">бюджетные </w:t>
      </w:r>
      <w:r>
        <w:rPr>
          <w:rFonts w:ascii="Times New Roman" w:hAnsi="Times New Roman" w:cs="Times New Roman"/>
          <w:sz w:val="18"/>
          <w:szCs w:val="18"/>
        </w:rPr>
        <w:t xml:space="preserve">назначения </w:t>
      </w:r>
      <w:r w:rsidRPr="00E01C34">
        <w:rPr>
          <w:rFonts w:ascii="Times New Roman" w:hAnsi="Times New Roman" w:cs="Times New Roman"/>
          <w:sz w:val="18"/>
          <w:szCs w:val="18"/>
        </w:rPr>
        <w:t xml:space="preserve">сформированы в соответствии с </w:t>
      </w:r>
      <w:r>
        <w:rPr>
          <w:rFonts w:ascii="Times New Roman" w:hAnsi="Times New Roman" w:cs="Times New Roman"/>
          <w:sz w:val="18"/>
          <w:szCs w:val="18"/>
        </w:rPr>
        <w:t>показателями</w:t>
      </w:r>
      <w:r w:rsidRPr="00E01C34">
        <w:rPr>
          <w:rFonts w:ascii="Times New Roman" w:hAnsi="Times New Roman" w:cs="Times New Roman"/>
          <w:sz w:val="18"/>
          <w:szCs w:val="18"/>
        </w:rPr>
        <w:t xml:space="preserve"> ф. 0503117 «Отчет об исполнении бюджета» консолидированной годовой бюджетной отчетности </w:t>
      </w:r>
      <w:r w:rsidR="00F61AC4">
        <w:rPr>
          <w:rFonts w:ascii="Times New Roman" w:hAnsi="Times New Roman" w:cs="Times New Roman"/>
          <w:sz w:val="18"/>
          <w:szCs w:val="18"/>
        </w:rPr>
        <w:t>Новоигирминского</w:t>
      </w:r>
      <w:r w:rsidRPr="00E01C34">
        <w:rPr>
          <w:rFonts w:ascii="Times New Roman" w:hAnsi="Times New Roman" w:cs="Times New Roman"/>
          <w:sz w:val="18"/>
          <w:szCs w:val="18"/>
        </w:rPr>
        <w:t xml:space="preserve"> МО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AC4" w:rsidRDefault="00F61AC4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городского поселения исполнена на 98% к уточненному плану или не выполнена </w:t>
      </w:r>
      <w:r w:rsidR="006A5C69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1 566,3 тыс. рублей.</w:t>
      </w:r>
    </w:p>
    <w:p w:rsidR="00F61AC4" w:rsidRDefault="00F61AC4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собственных доходов бюджета Новоигирминского ГП налоговые доходы составили 45,6%, неналоговые доходы 9%</w:t>
      </w:r>
    </w:p>
    <w:p w:rsidR="00DD2E78" w:rsidRDefault="005718B2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398B">
        <w:rPr>
          <w:rFonts w:ascii="Times New Roman" w:hAnsi="Times New Roman" w:cs="Times New Roman"/>
          <w:bCs/>
          <w:sz w:val="24"/>
          <w:szCs w:val="24"/>
        </w:rPr>
        <w:t xml:space="preserve">Налоговые доходы </w:t>
      </w:r>
      <w:r w:rsidR="00F61AC4">
        <w:rPr>
          <w:rFonts w:ascii="Times New Roman" w:hAnsi="Times New Roman" w:cs="Times New Roman"/>
          <w:bCs/>
          <w:sz w:val="24"/>
          <w:szCs w:val="24"/>
        </w:rPr>
        <w:t>Новоигирминского</w:t>
      </w:r>
      <w:r w:rsidR="00A82445">
        <w:rPr>
          <w:rFonts w:ascii="Times New Roman" w:hAnsi="Times New Roman" w:cs="Times New Roman"/>
          <w:bCs/>
          <w:sz w:val="24"/>
          <w:szCs w:val="24"/>
        </w:rPr>
        <w:t xml:space="preserve"> ГП</w:t>
      </w:r>
      <w:r w:rsidRPr="009B3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98B">
        <w:rPr>
          <w:rFonts w:ascii="Times New Roman" w:hAnsi="Times New Roman" w:cs="Times New Roman"/>
          <w:sz w:val="24"/>
          <w:szCs w:val="24"/>
        </w:rPr>
        <w:t xml:space="preserve">увеличились по сравнению с 2013 годом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61AC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9B398B">
        <w:rPr>
          <w:rFonts w:ascii="Times New Roman" w:hAnsi="Times New Roman" w:cs="Times New Roman"/>
          <w:sz w:val="24"/>
          <w:szCs w:val="24"/>
        </w:rPr>
        <w:t>за счет поступлени</w:t>
      </w:r>
      <w:r w:rsidR="003407F2">
        <w:rPr>
          <w:rFonts w:ascii="Times New Roman" w:hAnsi="Times New Roman" w:cs="Times New Roman"/>
          <w:sz w:val="24"/>
          <w:szCs w:val="24"/>
        </w:rPr>
        <w:t>й</w:t>
      </w:r>
      <w:r w:rsidRPr="009B398B">
        <w:rPr>
          <w:rFonts w:ascii="Times New Roman" w:hAnsi="Times New Roman" w:cs="Times New Roman"/>
          <w:sz w:val="24"/>
          <w:szCs w:val="24"/>
        </w:rPr>
        <w:t xml:space="preserve"> налогов на товары (работы, услуги), реализуемы</w:t>
      </w:r>
      <w:r w:rsidR="003B0BBB">
        <w:rPr>
          <w:rFonts w:ascii="Times New Roman" w:hAnsi="Times New Roman" w:cs="Times New Roman"/>
          <w:sz w:val="24"/>
          <w:szCs w:val="24"/>
        </w:rPr>
        <w:t>е</w:t>
      </w:r>
      <w:r w:rsidRPr="009B398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 </w:t>
      </w:r>
    </w:p>
    <w:p w:rsidR="00327ACE" w:rsidRDefault="00327ACE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налоговыми источниками доходной части бюджета в 2014 году являлись:</w:t>
      </w:r>
    </w:p>
    <w:p w:rsidR="00327ACE" w:rsidRDefault="00327ACE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с физических лиц </w:t>
      </w:r>
      <w:r w:rsidR="00F61AC4">
        <w:rPr>
          <w:rFonts w:ascii="Times New Roman" w:hAnsi="Times New Roman" w:cs="Times New Roman"/>
          <w:sz w:val="24"/>
          <w:szCs w:val="24"/>
        </w:rPr>
        <w:t>исполнен в сумме 17 448,6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C00962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% от утвержденных бюджетных назначений;</w:t>
      </w:r>
    </w:p>
    <w:p w:rsidR="00C00962" w:rsidRDefault="00C00962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товары, реализуемые на территории РФ – </w:t>
      </w:r>
      <w:r w:rsidR="00F61AC4">
        <w:rPr>
          <w:rFonts w:ascii="Times New Roman" w:hAnsi="Times New Roman" w:cs="Times New Roman"/>
          <w:sz w:val="24"/>
          <w:szCs w:val="24"/>
        </w:rPr>
        <w:t>1 478,5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61AC4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% от плана;</w:t>
      </w:r>
    </w:p>
    <w:p w:rsidR="00327ACE" w:rsidRDefault="00327ACE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</w:t>
      </w:r>
      <w:r w:rsidR="00C009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C4">
        <w:rPr>
          <w:rFonts w:ascii="Times New Roman" w:hAnsi="Times New Roman" w:cs="Times New Roman"/>
          <w:sz w:val="24"/>
          <w:szCs w:val="24"/>
        </w:rPr>
        <w:t>681,8</w:t>
      </w:r>
      <w:r>
        <w:rPr>
          <w:rFonts w:ascii="Times New Roman" w:hAnsi="Times New Roman" w:cs="Times New Roman"/>
          <w:sz w:val="24"/>
          <w:szCs w:val="24"/>
        </w:rPr>
        <w:t xml:space="preserve">  тыс. рублей  или </w:t>
      </w:r>
      <w:r w:rsidR="00F61AC4">
        <w:rPr>
          <w:rFonts w:ascii="Times New Roman" w:hAnsi="Times New Roman" w:cs="Times New Roman"/>
          <w:sz w:val="24"/>
          <w:szCs w:val="24"/>
        </w:rPr>
        <w:t>9</w:t>
      </w:r>
      <w:r w:rsidR="006E7DF9">
        <w:rPr>
          <w:rFonts w:ascii="Times New Roman" w:hAnsi="Times New Roman" w:cs="Times New Roman"/>
          <w:sz w:val="24"/>
          <w:szCs w:val="24"/>
        </w:rPr>
        <w:t>9</w:t>
      </w:r>
      <w:r w:rsidR="00F61AC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1AC4">
        <w:rPr>
          <w:rFonts w:ascii="Times New Roman" w:hAnsi="Times New Roman" w:cs="Times New Roman"/>
          <w:sz w:val="24"/>
          <w:szCs w:val="24"/>
        </w:rPr>
        <w:t>уточненных плановых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ACE" w:rsidRDefault="00327ACE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налог </w:t>
      </w:r>
      <w:r w:rsidR="00C009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C4">
        <w:rPr>
          <w:rFonts w:ascii="Times New Roman" w:hAnsi="Times New Roman" w:cs="Times New Roman"/>
          <w:sz w:val="24"/>
          <w:szCs w:val="24"/>
        </w:rPr>
        <w:t>3 096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61AC4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1AC4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ACE" w:rsidRDefault="00327ACE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AC4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 </w:t>
      </w:r>
      <w:r w:rsidR="006E7DF9">
        <w:rPr>
          <w:rFonts w:ascii="Times New Roman" w:hAnsi="Times New Roman" w:cs="Times New Roman"/>
          <w:sz w:val="24"/>
          <w:szCs w:val="24"/>
        </w:rPr>
        <w:t>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F9">
        <w:rPr>
          <w:rFonts w:ascii="Times New Roman" w:hAnsi="Times New Roman" w:cs="Times New Roman"/>
          <w:sz w:val="24"/>
          <w:szCs w:val="24"/>
        </w:rPr>
        <w:t>22,4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7DF9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6E7DF9">
        <w:rPr>
          <w:rFonts w:ascii="Times New Roman" w:hAnsi="Times New Roman" w:cs="Times New Roman"/>
          <w:sz w:val="24"/>
          <w:szCs w:val="24"/>
        </w:rPr>
        <w:t>от плановых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CD5" w:rsidRDefault="00327ACE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Невыполнение плановых показателей наблюдается по основн</w:t>
      </w:r>
      <w:r w:rsidR="006E7DF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6E7DF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6E7DF9">
        <w:rPr>
          <w:rFonts w:ascii="Times New Roman" w:hAnsi="Times New Roman" w:cs="Times New Roman"/>
          <w:sz w:val="24"/>
          <w:szCs w:val="24"/>
        </w:rPr>
        <w:t>ам</w:t>
      </w:r>
      <w:r w:rsidR="00183B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налогу на доходы физических лиц</w:t>
      </w:r>
      <w:r w:rsidR="00021CD5">
        <w:rPr>
          <w:rFonts w:ascii="Times New Roman" w:hAnsi="Times New Roman" w:cs="Times New Roman"/>
          <w:sz w:val="24"/>
          <w:szCs w:val="24"/>
        </w:rPr>
        <w:t xml:space="preserve">, </w:t>
      </w:r>
      <w:r w:rsidR="006E7DF9">
        <w:rPr>
          <w:rFonts w:ascii="Times New Roman" w:hAnsi="Times New Roman" w:cs="Times New Roman"/>
          <w:sz w:val="24"/>
          <w:szCs w:val="24"/>
        </w:rPr>
        <w:t>налогу на имущество физических лиц</w:t>
      </w:r>
      <w:r w:rsidR="00021CD5">
        <w:rPr>
          <w:rFonts w:ascii="Times New Roman" w:hAnsi="Times New Roman" w:cs="Times New Roman"/>
          <w:sz w:val="24"/>
          <w:szCs w:val="24"/>
        </w:rPr>
        <w:t>.</w:t>
      </w:r>
    </w:p>
    <w:p w:rsidR="00327ACE" w:rsidRPr="009B398B" w:rsidRDefault="00021CD5" w:rsidP="00327AC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Сложность при планировании и исполнении налоговых доходов обусловлена отсутствием функции администрирования соответствующих налоговых доходов у органов местного самоуправления, в том числе на этапе исполнения в части административного и судебного воздействия на налогоплательщиков. Ситуация у</w:t>
      </w:r>
      <w:r w:rsidR="008C35E7">
        <w:rPr>
          <w:rFonts w:ascii="Times New Roman" w:hAnsi="Times New Roman" w:cs="Times New Roman"/>
          <w:sz w:val="24"/>
          <w:szCs w:val="24"/>
        </w:rPr>
        <w:t xml:space="preserve">сугубляется ограниченным объемом информации, предоставляемой МИФНС № 17 по Иркутской области органам местного самоуправления для формирования и исполнения бюджета.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398B">
        <w:rPr>
          <w:rFonts w:ascii="Times New Roman" w:hAnsi="Times New Roman" w:cs="Times New Roman"/>
          <w:sz w:val="24"/>
          <w:szCs w:val="24"/>
        </w:rPr>
        <w:t xml:space="preserve">Неналоговые доходы в 2014 году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6E7DF9">
        <w:rPr>
          <w:rFonts w:ascii="Times New Roman" w:hAnsi="Times New Roman" w:cs="Times New Roman"/>
          <w:sz w:val="24"/>
          <w:szCs w:val="24"/>
        </w:rPr>
        <w:t>4 480,4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7DF9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плановых бюджетных назначений, по сравнению с 2013 годом исполнение составило </w:t>
      </w:r>
      <w:r w:rsidR="006E7DF9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C36D0" w:rsidRDefault="00EC36D0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разрезе неналоговых доходов:</w:t>
      </w:r>
    </w:p>
    <w:p w:rsidR="005718B2" w:rsidRPr="006E7DF9" w:rsidRDefault="00EC36D0" w:rsidP="006E7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использования имущества в виде арендной платы за земельные участки исполнены в сумме </w:t>
      </w:r>
      <w:r w:rsidR="006E7DF9">
        <w:rPr>
          <w:rFonts w:ascii="Times New Roman" w:hAnsi="Times New Roman" w:cs="Times New Roman"/>
          <w:sz w:val="24"/>
          <w:szCs w:val="24"/>
        </w:rPr>
        <w:t>3 015,1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7DF9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% от уточненных плановых назначений.</w:t>
      </w:r>
      <w:r w:rsidR="005718B2" w:rsidRPr="00D128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E7DF9">
        <w:rPr>
          <w:rFonts w:ascii="Times New Roman" w:hAnsi="Times New Roman" w:cs="Times New Roman"/>
          <w:sz w:val="24"/>
          <w:szCs w:val="24"/>
        </w:rPr>
        <w:t>Арендная плата за земельные участки, собственность на которые не разграничена, распределяется между МО «Нижнеилимский район» и поселениями по нормативу, установленному ст. 62 БК РФ (50% на 50%). Договора аренды на эти участки с юридическими и физическими лицами заключает Департамент по управлению муниципальным имуществом администрации Нижнеилимского муниципального района (далее - Департамент).</w:t>
      </w:r>
      <w:r w:rsidR="006E7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8B2" w:rsidRPr="00053316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Департаментом по администрации Нижнеилимского муниципального района, по состоянию на 01.01.2015 года задолженность по арендной плате по действующим договорам аренды земельных участков  составила </w:t>
      </w:r>
      <w:r w:rsidR="006E7DF9">
        <w:rPr>
          <w:rFonts w:ascii="Times New Roman" w:hAnsi="Times New Roman" w:cs="Times New Roman"/>
          <w:sz w:val="24"/>
          <w:szCs w:val="24"/>
        </w:rPr>
        <w:t>1 098,1</w:t>
      </w:r>
      <w:r w:rsidR="005718B2" w:rsidRPr="0005331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18B2">
        <w:rPr>
          <w:rFonts w:ascii="Times New Roman" w:hAnsi="Times New Roman" w:cs="Times New Roman"/>
          <w:sz w:val="24"/>
          <w:szCs w:val="24"/>
        </w:rPr>
        <w:t>лей</w:t>
      </w:r>
      <w:r w:rsidR="006E7DF9">
        <w:rPr>
          <w:rFonts w:ascii="Times New Roman" w:hAnsi="Times New Roman" w:cs="Times New Roman"/>
          <w:sz w:val="24"/>
          <w:szCs w:val="24"/>
        </w:rPr>
        <w:t>;</w:t>
      </w:r>
    </w:p>
    <w:p w:rsidR="00691631" w:rsidRDefault="004F01D6" w:rsidP="00EC36D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использования имущества, находящегося в собственности поселений – </w:t>
      </w:r>
      <w:r w:rsidR="006E7DF9">
        <w:rPr>
          <w:rFonts w:ascii="Times New Roman" w:hAnsi="Times New Roman" w:cs="Times New Roman"/>
          <w:sz w:val="24"/>
          <w:szCs w:val="24"/>
        </w:rPr>
        <w:t>111,5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7D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от плана</w:t>
      </w:r>
      <w:r w:rsidR="007D1F04">
        <w:rPr>
          <w:rFonts w:ascii="Times New Roman" w:hAnsi="Times New Roman" w:cs="Times New Roman"/>
          <w:sz w:val="24"/>
          <w:szCs w:val="24"/>
        </w:rPr>
        <w:t xml:space="preserve">. </w:t>
      </w:r>
      <w:r w:rsidR="00E57FCA">
        <w:rPr>
          <w:rFonts w:ascii="Times New Roman" w:hAnsi="Times New Roman" w:cs="Times New Roman"/>
          <w:sz w:val="24"/>
          <w:szCs w:val="24"/>
        </w:rPr>
        <w:t>По</w:t>
      </w:r>
      <w:r w:rsidR="007D1F04">
        <w:rPr>
          <w:rFonts w:ascii="Times New Roman" w:hAnsi="Times New Roman" w:cs="Times New Roman"/>
          <w:sz w:val="24"/>
          <w:szCs w:val="24"/>
        </w:rPr>
        <w:t xml:space="preserve"> информации, представленной </w:t>
      </w:r>
      <w:r w:rsidR="00E57FCA">
        <w:rPr>
          <w:rFonts w:ascii="Times New Roman" w:hAnsi="Times New Roman" w:cs="Times New Roman"/>
          <w:sz w:val="24"/>
          <w:szCs w:val="24"/>
        </w:rPr>
        <w:t xml:space="preserve">юридическим отделом </w:t>
      </w:r>
      <w:r w:rsidR="007D1F04">
        <w:rPr>
          <w:rFonts w:ascii="Times New Roman" w:hAnsi="Times New Roman" w:cs="Times New Roman"/>
          <w:sz w:val="24"/>
          <w:szCs w:val="24"/>
        </w:rPr>
        <w:t>Администрацией Новоигирминского ГП, задолженность по аренде муниципального имущества, находящегося в собственности Новоигирминского ГП</w:t>
      </w:r>
      <w:r w:rsidR="00E45B92">
        <w:rPr>
          <w:rFonts w:ascii="Times New Roman" w:hAnsi="Times New Roman" w:cs="Times New Roman"/>
          <w:sz w:val="24"/>
          <w:szCs w:val="24"/>
        </w:rPr>
        <w:t>,</w:t>
      </w:r>
      <w:r w:rsidR="007D1F04">
        <w:rPr>
          <w:rFonts w:ascii="Times New Roman" w:hAnsi="Times New Roman" w:cs="Times New Roman"/>
          <w:sz w:val="24"/>
          <w:szCs w:val="24"/>
        </w:rPr>
        <w:t xml:space="preserve"> </w:t>
      </w:r>
      <w:r w:rsidR="006E7DF9">
        <w:rPr>
          <w:rFonts w:ascii="Times New Roman" w:hAnsi="Times New Roman" w:cs="Times New Roman"/>
          <w:sz w:val="24"/>
          <w:szCs w:val="24"/>
        </w:rPr>
        <w:t xml:space="preserve"> </w:t>
      </w:r>
      <w:r w:rsidR="00764A1C">
        <w:rPr>
          <w:rFonts w:ascii="Times New Roman" w:hAnsi="Times New Roman" w:cs="Times New Roman"/>
          <w:sz w:val="24"/>
          <w:szCs w:val="24"/>
        </w:rPr>
        <w:t xml:space="preserve">по состоянию на 01.01.2015г. составила </w:t>
      </w:r>
      <w:r w:rsidR="00691631">
        <w:rPr>
          <w:rFonts w:ascii="Times New Roman" w:hAnsi="Times New Roman" w:cs="Times New Roman"/>
          <w:sz w:val="24"/>
          <w:szCs w:val="24"/>
        </w:rPr>
        <w:t>889</w:t>
      </w:r>
      <w:r w:rsidR="00764A1C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BE47EF">
        <w:rPr>
          <w:rFonts w:ascii="Times New Roman" w:hAnsi="Times New Roman" w:cs="Times New Roman"/>
          <w:sz w:val="24"/>
          <w:szCs w:val="24"/>
        </w:rPr>
        <w:t>По недополученным доходам с бюджет Новоигирминского ГП по договорам аренды муниципального имущества, заключенным с ООО «КУК ЖКХ», ООО «ТВК Химки», ООО «ЖЭУ Химки», в адрес организации неоднократно</w:t>
      </w:r>
      <w:r w:rsidR="00691631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BE47EF">
        <w:rPr>
          <w:rFonts w:ascii="Times New Roman" w:hAnsi="Times New Roman" w:cs="Times New Roman"/>
          <w:sz w:val="24"/>
          <w:szCs w:val="24"/>
        </w:rPr>
        <w:t xml:space="preserve"> направлялись </w:t>
      </w:r>
      <w:r w:rsidR="00691631">
        <w:rPr>
          <w:rFonts w:ascii="Times New Roman" w:hAnsi="Times New Roman" w:cs="Times New Roman"/>
          <w:sz w:val="24"/>
          <w:szCs w:val="24"/>
        </w:rPr>
        <w:t>претензии с требованием исполнить обязательства по договорам, в арбитражном суде Иркутской области находится производство дела по исковому заявлению о взыскании с ООО «КУК ЖКХ» задолженности;</w:t>
      </w:r>
    </w:p>
    <w:p w:rsidR="004F01D6" w:rsidRDefault="004F01D6" w:rsidP="00EC36D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исполнены в сумме </w:t>
      </w:r>
      <w:r w:rsidR="006E7DF9">
        <w:rPr>
          <w:rFonts w:ascii="Times New Roman" w:hAnsi="Times New Roman" w:cs="Times New Roman"/>
          <w:sz w:val="24"/>
          <w:szCs w:val="24"/>
        </w:rPr>
        <w:t>845,8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7DF9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% от плана;</w:t>
      </w:r>
    </w:p>
    <w:p w:rsidR="004F01D6" w:rsidRDefault="004F01D6" w:rsidP="00EC36D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продажи материальных активов – </w:t>
      </w:r>
      <w:r w:rsidR="006E7DF9">
        <w:rPr>
          <w:rFonts w:ascii="Times New Roman" w:hAnsi="Times New Roman" w:cs="Times New Roman"/>
          <w:sz w:val="24"/>
          <w:szCs w:val="24"/>
        </w:rPr>
        <w:t>504,3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7DF9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% от утвержденных плановых назначений;</w:t>
      </w:r>
    </w:p>
    <w:p w:rsidR="006E7DF9" w:rsidRDefault="004F01D6" w:rsidP="00EC36D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DF9">
        <w:rPr>
          <w:rFonts w:ascii="Times New Roman" w:hAnsi="Times New Roman" w:cs="Times New Roman"/>
          <w:sz w:val="24"/>
          <w:szCs w:val="24"/>
        </w:rPr>
        <w:t>исполнение по прочим неналоговым доходам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E7DF9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E7DF9">
        <w:rPr>
          <w:rFonts w:ascii="Times New Roman" w:hAnsi="Times New Roman" w:cs="Times New Roman"/>
          <w:sz w:val="24"/>
          <w:szCs w:val="24"/>
        </w:rPr>
        <w:t>.</w:t>
      </w:r>
    </w:p>
    <w:p w:rsidR="005718B2" w:rsidRDefault="004F01D6" w:rsidP="00095F48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DF9" w:rsidRPr="00EC50D5">
        <w:rPr>
          <w:rFonts w:ascii="Times New Roman" w:hAnsi="Times New Roman" w:cs="Times New Roman"/>
          <w:sz w:val="24"/>
          <w:szCs w:val="24"/>
        </w:rPr>
        <w:t xml:space="preserve">Контрольно-счетная палата отмечает, что </w:t>
      </w:r>
      <w:r w:rsidR="002E5848" w:rsidRPr="00EC50D5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наблюдается положительная динамика роста поступлений налоговых и неналоговых доходов – на 52,4% и снижением объема безвозмездных поступлений – на 25,6%. </w:t>
      </w:r>
      <w:r w:rsidR="002E5848" w:rsidRPr="00EC50D5">
        <w:rPr>
          <w:rFonts w:ascii="Times New Roman" w:hAnsi="Times New Roman" w:cs="Times New Roman"/>
          <w:sz w:val="24"/>
          <w:szCs w:val="24"/>
        </w:rPr>
        <w:cr/>
      </w:r>
      <w:r w:rsidR="005718B2" w:rsidRPr="00DB6B68">
        <w:rPr>
          <w:rFonts w:ascii="Times New Roman" w:hAnsi="Times New Roman" w:cs="Times New Roman"/>
          <w:sz w:val="24"/>
          <w:szCs w:val="24"/>
        </w:rPr>
        <w:t xml:space="preserve"> </w:t>
      </w:r>
      <w:r w:rsidR="005718B2" w:rsidRPr="00DB6B68">
        <w:rPr>
          <w:rFonts w:ascii="Times New Roman" w:hAnsi="Times New Roman" w:cs="Times New Roman"/>
          <w:sz w:val="24"/>
          <w:szCs w:val="24"/>
        </w:rPr>
        <w:tab/>
        <w:t xml:space="preserve">Безвозмездные поступления составили </w:t>
      </w:r>
      <w:r w:rsidR="00095F48">
        <w:rPr>
          <w:rFonts w:ascii="Times New Roman" w:hAnsi="Times New Roman" w:cs="Times New Roman"/>
          <w:sz w:val="24"/>
          <w:szCs w:val="24"/>
        </w:rPr>
        <w:t xml:space="preserve">22 604,5 </w:t>
      </w:r>
      <w:r w:rsidR="005718B2" w:rsidRPr="00DB6B6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95F48">
        <w:rPr>
          <w:rFonts w:ascii="Times New Roman" w:hAnsi="Times New Roman" w:cs="Times New Roman"/>
          <w:sz w:val="24"/>
          <w:szCs w:val="24"/>
        </w:rPr>
        <w:t>100</w:t>
      </w:r>
      <w:r w:rsidR="005718B2" w:rsidRPr="00DB6B68">
        <w:rPr>
          <w:rFonts w:ascii="Times New Roman" w:hAnsi="Times New Roman" w:cs="Times New Roman"/>
          <w:sz w:val="24"/>
          <w:szCs w:val="24"/>
        </w:rPr>
        <w:t xml:space="preserve"> % к </w:t>
      </w:r>
      <w:r w:rsidR="002A3CF9">
        <w:rPr>
          <w:rFonts w:ascii="Times New Roman" w:hAnsi="Times New Roman" w:cs="Times New Roman"/>
          <w:sz w:val="24"/>
          <w:szCs w:val="24"/>
        </w:rPr>
        <w:t>утвержденным бюджетным назначениям</w:t>
      </w:r>
      <w:r w:rsidR="005718B2" w:rsidRPr="00095D49">
        <w:rPr>
          <w:rFonts w:ascii="Times New Roman" w:hAnsi="Times New Roman" w:cs="Times New Roman"/>
          <w:sz w:val="24"/>
          <w:szCs w:val="24"/>
        </w:rPr>
        <w:t xml:space="preserve">. Исполнение по данному источнику доходов к уровню 2013 года составило </w:t>
      </w:r>
      <w:r w:rsidR="00095F48">
        <w:rPr>
          <w:rFonts w:ascii="Times New Roman" w:hAnsi="Times New Roman" w:cs="Times New Roman"/>
          <w:sz w:val="24"/>
          <w:szCs w:val="24"/>
        </w:rPr>
        <w:t>74,4</w:t>
      </w:r>
      <w:r w:rsidR="005718B2" w:rsidRPr="00095D49">
        <w:rPr>
          <w:rFonts w:ascii="Times New Roman" w:hAnsi="Times New Roman" w:cs="Times New Roman"/>
          <w:sz w:val="24"/>
          <w:szCs w:val="24"/>
        </w:rPr>
        <w:t>%.</w:t>
      </w:r>
    </w:p>
    <w:p w:rsidR="00095F48" w:rsidRPr="00095D49" w:rsidRDefault="00095F48" w:rsidP="00095F48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5718B2" w:rsidRDefault="005718B2" w:rsidP="005718B2">
      <w:pPr>
        <w:tabs>
          <w:tab w:val="left" w:pos="747"/>
        </w:tabs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Расходная часть бюджета городского поселения в соответствии с данными годовой бюджетной отчетности исполнена в 2014 году в сум</w:t>
      </w:r>
      <w:r w:rsidR="00F65384">
        <w:rPr>
          <w:rFonts w:ascii="Times New Roman" w:hAnsi="Times New Roman" w:cs="Times New Roman"/>
          <w:sz w:val="24"/>
          <w:szCs w:val="24"/>
        </w:rPr>
        <w:t xml:space="preserve">ме </w:t>
      </w:r>
      <w:r w:rsidR="00095F48">
        <w:rPr>
          <w:rFonts w:ascii="Times New Roman" w:hAnsi="Times New Roman" w:cs="Times New Roman"/>
          <w:sz w:val="24"/>
          <w:szCs w:val="24"/>
        </w:rPr>
        <w:t>49 534,5</w:t>
      </w:r>
      <w:r w:rsidR="00F65384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25122F">
        <w:rPr>
          <w:rFonts w:ascii="Times New Roman" w:hAnsi="Times New Roman" w:cs="Times New Roman"/>
          <w:sz w:val="24"/>
          <w:szCs w:val="24"/>
        </w:rPr>
        <w:t>94,3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назначениям, по сравнению с 2013 годом – </w:t>
      </w:r>
      <w:r w:rsidR="0025122F">
        <w:rPr>
          <w:rFonts w:ascii="Times New Roman" w:hAnsi="Times New Roman" w:cs="Times New Roman"/>
          <w:sz w:val="24"/>
          <w:szCs w:val="24"/>
        </w:rPr>
        <w:t>100,6</w:t>
      </w:r>
      <w:r>
        <w:rPr>
          <w:rFonts w:ascii="Times New Roman" w:hAnsi="Times New Roman" w:cs="Times New Roman"/>
          <w:sz w:val="24"/>
          <w:szCs w:val="24"/>
        </w:rPr>
        <w:t xml:space="preserve"> % (Таблица № 2).</w:t>
      </w:r>
    </w:p>
    <w:p w:rsidR="005718B2" w:rsidRDefault="005718B2" w:rsidP="005718B2">
      <w:pPr>
        <w:tabs>
          <w:tab w:val="left" w:pos="747"/>
        </w:tabs>
        <w:spacing w:after="0" w:line="240" w:lineRule="auto"/>
        <w:ind w:right="-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</w:t>
      </w:r>
    </w:p>
    <w:p w:rsidR="005718B2" w:rsidRPr="00476A56" w:rsidRDefault="005718B2" w:rsidP="005718B2">
      <w:pPr>
        <w:tabs>
          <w:tab w:val="left" w:pos="747"/>
        </w:tabs>
        <w:spacing w:after="0" w:line="240" w:lineRule="auto"/>
        <w:ind w:right="-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5718B2" w:rsidRDefault="005718B2" w:rsidP="005718B2">
      <w:pPr>
        <w:tabs>
          <w:tab w:val="left" w:pos="747"/>
        </w:tabs>
        <w:spacing w:after="0" w:line="240" w:lineRule="auto"/>
        <w:ind w:right="-14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2268"/>
        <w:gridCol w:w="993"/>
        <w:gridCol w:w="1275"/>
        <w:gridCol w:w="1134"/>
        <w:gridCol w:w="1418"/>
        <w:gridCol w:w="1134"/>
        <w:gridCol w:w="1134"/>
        <w:gridCol w:w="1134"/>
      </w:tblGrid>
      <w:tr w:rsidR="005718B2" w:rsidTr="007D1F04">
        <w:trPr>
          <w:trHeight w:val="615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Разделы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left="-108"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  в 2013 году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718B2" w:rsidRPr="007D1F04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Уточненные бюджетные</w:t>
            </w:r>
          </w:p>
          <w:p w:rsidR="005718B2" w:rsidRPr="007D1F04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назначения</w:t>
            </w:r>
          </w:p>
          <w:p w:rsidR="005718B2" w:rsidRPr="007D1F04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на 2014 год*</w:t>
            </w:r>
          </w:p>
          <w:p w:rsidR="005718B2" w:rsidRPr="007D1F04" w:rsidRDefault="005718B2" w:rsidP="006472E6">
            <w:pPr>
              <w:tabs>
                <w:tab w:val="left" w:pos="1309"/>
              </w:tabs>
              <w:ind w:left="-108"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в 2014 году</w:t>
            </w:r>
          </w:p>
        </w:tc>
      </w:tr>
      <w:tr w:rsidR="005718B2" w:rsidTr="007D1F04">
        <w:trPr>
          <w:trHeight w:val="525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718B2" w:rsidRPr="007D1F04" w:rsidRDefault="005718B2" w:rsidP="006472E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7D1F04" w:rsidRDefault="005718B2" w:rsidP="006472E6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  <w:p w:rsidR="005718B2" w:rsidRPr="007D1F04" w:rsidRDefault="005718B2" w:rsidP="006472E6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бюджетных</w:t>
            </w:r>
          </w:p>
          <w:p w:rsidR="005718B2" w:rsidRPr="007D1F04" w:rsidRDefault="005718B2" w:rsidP="006472E6">
            <w:pPr>
              <w:autoSpaceDE w:val="0"/>
              <w:autoSpaceDN w:val="0"/>
              <w:adjustRightInd w:val="0"/>
              <w:ind w:left="-108" w:right="-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407F2"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left="-108" w:right="-141" w:firstLine="108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В % к уточненному бюджету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7F2" w:rsidRPr="007D1F04" w:rsidRDefault="003407F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Уд.вес в общем объеме</w:t>
            </w:r>
          </w:p>
          <w:p w:rsidR="003407F2" w:rsidRPr="007D1F04" w:rsidRDefault="003407F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5718B2"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асходов</w:t>
            </w:r>
          </w:p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18B2" w:rsidRPr="007D1F04" w:rsidRDefault="005718B2" w:rsidP="006472E6">
            <w:pPr>
              <w:tabs>
                <w:tab w:val="left" w:pos="747"/>
              </w:tabs>
              <w:ind w:left="-108" w:right="-141" w:firstLine="108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К исполнению 2013 года</w:t>
            </w:r>
          </w:p>
          <w:p w:rsidR="005718B2" w:rsidRPr="007D1F04" w:rsidRDefault="005718B2" w:rsidP="006472E6">
            <w:pPr>
              <w:tabs>
                <w:tab w:val="left" w:pos="747"/>
              </w:tabs>
              <w:ind w:left="-108" w:right="-141" w:firstLine="108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расходов, </w:t>
            </w:r>
          </w:p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49 234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52 526,5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49 534,5</w:t>
            </w:r>
          </w:p>
        </w:tc>
        <w:tc>
          <w:tcPr>
            <w:tcW w:w="1418" w:type="dxa"/>
          </w:tcPr>
          <w:p w:rsidR="005718B2" w:rsidRPr="007D1F04" w:rsidRDefault="00EA61FE" w:rsidP="00EA61FE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 2 992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94,3</w:t>
            </w:r>
          </w:p>
        </w:tc>
        <w:tc>
          <w:tcPr>
            <w:tcW w:w="1134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100,6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7D1F04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</w:t>
            </w:r>
            <w:r w:rsidR="005718B2" w:rsidRPr="007D1F04">
              <w:rPr>
                <w:rFonts w:ascii="Times New Roman" w:hAnsi="Times New Roman" w:cs="Times New Roman"/>
                <w:sz w:val="18"/>
                <w:szCs w:val="18"/>
              </w:rPr>
              <w:t xml:space="preserve">венные </w:t>
            </w:r>
            <w:r w:rsidR="005718B2" w:rsidRPr="007D1F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20 388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21 032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19 981,1</w:t>
            </w:r>
          </w:p>
        </w:tc>
        <w:tc>
          <w:tcPr>
            <w:tcW w:w="1418" w:type="dxa"/>
          </w:tcPr>
          <w:p w:rsidR="005718B2" w:rsidRPr="007D1F04" w:rsidRDefault="005718B2" w:rsidP="00EA61FE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61FE">
              <w:rPr>
                <w:rFonts w:ascii="Times New Roman" w:hAnsi="Times New Roman" w:cs="Times New Roman"/>
                <w:sz w:val="18"/>
                <w:szCs w:val="18"/>
              </w:rPr>
              <w:t>1 050,9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134" w:type="dxa"/>
          </w:tcPr>
          <w:p w:rsidR="005718B2" w:rsidRPr="007D1F04" w:rsidRDefault="00EA61FE" w:rsidP="00EA61FE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798,1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798,1</w:t>
            </w:r>
          </w:p>
        </w:tc>
        <w:tc>
          <w:tcPr>
            <w:tcW w:w="141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5718B2" w:rsidTr="007D1F04">
        <w:tc>
          <w:tcPr>
            <w:tcW w:w="2268" w:type="dxa"/>
          </w:tcPr>
          <w:p w:rsidR="007D1F04" w:rsidRDefault="005718B2" w:rsidP="00D643DC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</w:p>
          <w:p w:rsidR="005718B2" w:rsidRPr="007D1F04" w:rsidRDefault="005718B2" w:rsidP="00D643DC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и правоохранительная деятельность</w:t>
            </w:r>
          </w:p>
        </w:tc>
        <w:tc>
          <w:tcPr>
            <w:tcW w:w="993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1134" w:type="dxa"/>
          </w:tcPr>
          <w:p w:rsidR="005718B2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EA61FE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2 874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2 901,5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2 685,4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-216,1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5718B2" w:rsidRPr="007D1F04" w:rsidRDefault="00EA61FE" w:rsidP="00234824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234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9 354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8 121,9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7 197,2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-924,7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15 416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19 204,9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18 423,6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-781,3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234824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</w:tcPr>
          <w:p w:rsidR="005718B2" w:rsidRPr="007D1F04" w:rsidRDefault="0025122F" w:rsidP="0025122F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282,1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282,1</w:t>
            </w:r>
          </w:p>
        </w:tc>
        <w:tc>
          <w:tcPr>
            <w:tcW w:w="1418" w:type="dxa"/>
          </w:tcPr>
          <w:p w:rsidR="005718B2" w:rsidRPr="007D1F04" w:rsidRDefault="005718B2" w:rsidP="00EA61FE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5718B2" w:rsidTr="007D1F04">
        <w:tc>
          <w:tcPr>
            <w:tcW w:w="2268" w:type="dxa"/>
          </w:tcPr>
          <w:p w:rsid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 xml:space="preserve"> и спорт</w:t>
            </w:r>
          </w:p>
        </w:tc>
        <w:tc>
          <w:tcPr>
            <w:tcW w:w="993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5718B2" w:rsidTr="007D1F04">
        <w:tc>
          <w:tcPr>
            <w:tcW w:w="2268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3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25122F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EA61FE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8B2" w:rsidRPr="007D1F04" w:rsidRDefault="005718B2" w:rsidP="006472E6">
            <w:pPr>
              <w:tabs>
                <w:tab w:val="left" w:pos="747"/>
              </w:tabs>
              <w:ind w:right="-14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F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уточненные </w:t>
      </w:r>
      <w:r w:rsidRPr="00E01C34">
        <w:rPr>
          <w:rFonts w:ascii="Times New Roman" w:hAnsi="Times New Roman" w:cs="Times New Roman"/>
          <w:sz w:val="18"/>
          <w:szCs w:val="18"/>
        </w:rPr>
        <w:t xml:space="preserve">бюджетные </w:t>
      </w:r>
      <w:r>
        <w:rPr>
          <w:rFonts w:ascii="Times New Roman" w:hAnsi="Times New Roman" w:cs="Times New Roman"/>
          <w:sz w:val="18"/>
          <w:szCs w:val="18"/>
        </w:rPr>
        <w:t xml:space="preserve">назначения на 2014 год </w:t>
      </w:r>
      <w:r w:rsidRPr="00E01C34">
        <w:rPr>
          <w:rFonts w:ascii="Times New Roman" w:hAnsi="Times New Roman" w:cs="Times New Roman"/>
          <w:sz w:val="18"/>
          <w:szCs w:val="18"/>
        </w:rPr>
        <w:t xml:space="preserve">сформированы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утвержденными бюджетными назначениями </w:t>
      </w:r>
      <w:r w:rsidRPr="00E01C34">
        <w:rPr>
          <w:rFonts w:ascii="Times New Roman" w:hAnsi="Times New Roman" w:cs="Times New Roman"/>
          <w:sz w:val="18"/>
          <w:szCs w:val="18"/>
        </w:rPr>
        <w:t xml:space="preserve">ф. 0503117 «Отчет об исполнении бюджета» консолидированной годовой бюджетной отчетности </w:t>
      </w:r>
      <w:r>
        <w:rPr>
          <w:rFonts w:ascii="Times New Roman" w:hAnsi="Times New Roman" w:cs="Times New Roman"/>
          <w:sz w:val="18"/>
          <w:szCs w:val="18"/>
        </w:rPr>
        <w:t>Рудногорского</w:t>
      </w:r>
      <w:r w:rsidRPr="00E01C34">
        <w:rPr>
          <w:rFonts w:ascii="Times New Roman" w:hAnsi="Times New Roman" w:cs="Times New Roman"/>
          <w:sz w:val="18"/>
          <w:szCs w:val="18"/>
        </w:rPr>
        <w:t xml:space="preserve"> МО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B2" w:rsidRPr="007024FF" w:rsidRDefault="005718B2" w:rsidP="005718B2">
      <w:pPr>
        <w:pStyle w:val="2"/>
        <w:ind w:left="0" w:right="-141" w:firstLine="709"/>
        <w:rPr>
          <w:sz w:val="24"/>
          <w:szCs w:val="24"/>
        </w:rPr>
      </w:pPr>
      <w:r w:rsidRPr="002D648B">
        <w:rPr>
          <w:sz w:val="24"/>
          <w:szCs w:val="24"/>
        </w:rPr>
        <w:t xml:space="preserve">Формирование расходных обязательств в соответствии со ст. 87 Бюджетного кодекса Российской Федерации в </w:t>
      </w:r>
      <w:r w:rsidR="002D3573">
        <w:rPr>
          <w:sz w:val="24"/>
          <w:szCs w:val="24"/>
        </w:rPr>
        <w:t>Новоигирминском</w:t>
      </w:r>
      <w:r>
        <w:rPr>
          <w:sz w:val="24"/>
          <w:szCs w:val="24"/>
        </w:rPr>
        <w:t xml:space="preserve"> городском</w:t>
      </w:r>
      <w:r w:rsidRPr="002D648B">
        <w:rPr>
          <w:sz w:val="24"/>
          <w:szCs w:val="24"/>
        </w:rPr>
        <w:t xml:space="preserve"> поселении осуществляется на основе реестра расходных обязательств.</w:t>
      </w:r>
      <w:r w:rsidRPr="002D648B">
        <w:rPr>
          <w:color w:val="FF0000"/>
          <w:sz w:val="24"/>
          <w:szCs w:val="24"/>
        </w:rPr>
        <w:t xml:space="preserve"> </w:t>
      </w:r>
      <w:r w:rsidRPr="002D648B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от</w:t>
      </w:r>
      <w:r>
        <w:t xml:space="preserve"> </w:t>
      </w:r>
      <w:r w:rsidR="0019366E">
        <w:t>19</w:t>
      </w:r>
      <w:r w:rsidRPr="007024FF">
        <w:t>.</w:t>
      </w:r>
      <w:r w:rsidR="0019366E">
        <w:t>05</w:t>
      </w:r>
      <w:r w:rsidRPr="007024FF">
        <w:t>.200</w:t>
      </w:r>
      <w:r w:rsidR="0019366E">
        <w:t>6</w:t>
      </w:r>
      <w:r w:rsidRPr="007024FF">
        <w:t xml:space="preserve"> № </w:t>
      </w:r>
      <w:r w:rsidR="0019366E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Pr="007024FF">
        <w:rPr>
          <w:sz w:val="24"/>
          <w:szCs w:val="24"/>
        </w:rPr>
        <w:t xml:space="preserve"> утвержден </w:t>
      </w:r>
      <w:r>
        <w:rPr>
          <w:sz w:val="24"/>
          <w:szCs w:val="24"/>
        </w:rPr>
        <w:t>П</w:t>
      </w:r>
      <w:r w:rsidRPr="007024FF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7024FF">
        <w:rPr>
          <w:sz w:val="24"/>
          <w:szCs w:val="24"/>
        </w:rPr>
        <w:t xml:space="preserve"> ведения реестра расходных обязательств </w:t>
      </w:r>
      <w:r w:rsidR="002D3573">
        <w:rPr>
          <w:sz w:val="24"/>
          <w:szCs w:val="24"/>
        </w:rPr>
        <w:t>Новоигирминского</w:t>
      </w:r>
      <w:r>
        <w:rPr>
          <w:sz w:val="24"/>
          <w:szCs w:val="24"/>
        </w:rPr>
        <w:t xml:space="preserve"> городского</w:t>
      </w:r>
      <w:r w:rsidRPr="007024FF">
        <w:rPr>
          <w:sz w:val="24"/>
          <w:szCs w:val="24"/>
        </w:rPr>
        <w:t xml:space="preserve"> поселения </w:t>
      </w:r>
      <w:r w:rsidR="0019366E">
        <w:rPr>
          <w:sz w:val="24"/>
          <w:szCs w:val="24"/>
        </w:rPr>
        <w:t>(внес. изм. от 08.10.2007 № 78)</w:t>
      </w:r>
      <w:r w:rsidRPr="007024FF">
        <w:rPr>
          <w:sz w:val="24"/>
          <w:szCs w:val="24"/>
        </w:rPr>
        <w:t xml:space="preserve">(далее – Порядок ведения реестра расходных обязательств). </w:t>
      </w:r>
    </w:p>
    <w:p w:rsidR="00696EE4" w:rsidRDefault="005718B2" w:rsidP="00696EE4">
      <w:p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2600">
        <w:rPr>
          <w:rFonts w:ascii="Times New Roman" w:hAnsi="Times New Roman" w:cs="Times New Roman"/>
          <w:sz w:val="24"/>
          <w:szCs w:val="24"/>
        </w:rPr>
        <w:t xml:space="preserve">Представленный для внешней проверки реестр расходных обязательств поселения показал, что реестр не соответствует форме реестра расходных обязательств </w:t>
      </w:r>
      <w:r w:rsidR="00234824">
        <w:rPr>
          <w:rFonts w:ascii="Times New Roman" w:hAnsi="Times New Roman" w:cs="Times New Roman"/>
          <w:sz w:val="24"/>
          <w:szCs w:val="24"/>
        </w:rPr>
        <w:t>Новоигирминского</w:t>
      </w:r>
      <w:r w:rsidR="00372600">
        <w:rPr>
          <w:rFonts w:ascii="Times New Roman" w:hAnsi="Times New Roman" w:cs="Times New Roman"/>
          <w:sz w:val="24"/>
          <w:szCs w:val="24"/>
        </w:rPr>
        <w:t xml:space="preserve"> ГП, утвержденной Порядком. </w:t>
      </w:r>
      <w:r w:rsidR="00372600" w:rsidRPr="00696EE4">
        <w:rPr>
          <w:rFonts w:ascii="Times New Roman" w:hAnsi="Times New Roman" w:cs="Times New Roman"/>
          <w:sz w:val="24"/>
          <w:szCs w:val="24"/>
        </w:rPr>
        <w:t>Числовые показатели соответствуют  бюджетным назначениям по исполнению бюджета за 2013 год, утвержденным бюджетным ассигнованиям 2014 года, вместе с тем в реестре не отражен факт объема средств на исполнение расходных обязательств за 2014 год.</w:t>
      </w:r>
      <w:r w:rsidR="00372600" w:rsidRPr="00234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EE4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содержит расходные обязательства по исполнению полномочий, отнесенных к вопросам местного значения городского поселения, при этом в реестре не указаны нормативные правовые акты, договора и соглашения 2014 года, обуславливающие расходование средств, сроки действия указанных документов. </w:t>
      </w:r>
    </w:p>
    <w:p w:rsidR="005718B2" w:rsidRDefault="00372600" w:rsidP="00372600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8B2">
        <w:rPr>
          <w:rFonts w:ascii="TimesNewRomanPSMT" w:hAnsi="TimesNewRomanPSMT" w:cs="TimesNewRomanPSMT"/>
          <w:sz w:val="24"/>
          <w:szCs w:val="24"/>
        </w:rPr>
        <w:t>При проверке представленного проекта решения и приложении к нему на соответствие бюджетному законодательству установлено:</w:t>
      </w:r>
    </w:p>
    <w:p w:rsidR="001A7585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407F2">
        <w:rPr>
          <w:rFonts w:ascii="Times New Roman" w:hAnsi="Times New Roman" w:cs="Times New Roman"/>
          <w:sz w:val="24"/>
          <w:szCs w:val="24"/>
        </w:rPr>
        <w:t>согласно Указани</w:t>
      </w:r>
      <w:r w:rsidR="008F7E52">
        <w:rPr>
          <w:rFonts w:ascii="Times New Roman" w:hAnsi="Times New Roman" w:cs="Times New Roman"/>
          <w:sz w:val="24"/>
          <w:szCs w:val="24"/>
        </w:rPr>
        <w:t>ям</w:t>
      </w:r>
      <w:r w:rsidRPr="003407F2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</w:t>
      </w:r>
      <w:r w:rsidR="001A7585">
        <w:rPr>
          <w:rFonts w:ascii="Times New Roman" w:hAnsi="Times New Roman" w:cs="Times New Roman"/>
          <w:sz w:val="24"/>
          <w:szCs w:val="24"/>
        </w:rPr>
        <w:t xml:space="preserve"> </w:t>
      </w:r>
      <w:r w:rsidRPr="003407F2">
        <w:rPr>
          <w:rFonts w:ascii="Times New Roman" w:hAnsi="Times New Roman" w:cs="Times New Roman"/>
          <w:sz w:val="24"/>
          <w:szCs w:val="24"/>
        </w:rPr>
        <w:t>утвержденн</w:t>
      </w:r>
      <w:r w:rsidR="001A7585">
        <w:rPr>
          <w:rFonts w:ascii="Times New Roman" w:hAnsi="Times New Roman" w:cs="Times New Roman"/>
          <w:sz w:val="24"/>
          <w:szCs w:val="24"/>
        </w:rPr>
        <w:t>ым</w:t>
      </w:r>
      <w:r w:rsidRPr="003407F2">
        <w:rPr>
          <w:rFonts w:ascii="Times New Roman" w:hAnsi="Times New Roman" w:cs="Times New Roman"/>
          <w:sz w:val="24"/>
          <w:szCs w:val="24"/>
        </w:rPr>
        <w:t xml:space="preserve"> Приказом Минфина РФ от 01.07.2013 № 65н (с изм. и доп., вступ. в силу с 01.01.2015) КСП района рекомендует привести в соответствие наименования раздел</w:t>
      </w:r>
      <w:r w:rsidR="00234824">
        <w:rPr>
          <w:rFonts w:ascii="Times New Roman" w:hAnsi="Times New Roman" w:cs="Times New Roman"/>
          <w:sz w:val="24"/>
          <w:szCs w:val="24"/>
        </w:rPr>
        <w:t>ов</w:t>
      </w:r>
      <w:r w:rsidR="001A7585">
        <w:rPr>
          <w:rFonts w:ascii="Times New Roman" w:hAnsi="Times New Roman" w:cs="Times New Roman"/>
          <w:sz w:val="24"/>
          <w:szCs w:val="24"/>
        </w:rPr>
        <w:t xml:space="preserve"> и подразделов</w:t>
      </w:r>
      <w:r w:rsidR="00234824">
        <w:rPr>
          <w:rFonts w:ascii="Times New Roman" w:hAnsi="Times New Roman" w:cs="Times New Roman"/>
          <w:sz w:val="24"/>
          <w:szCs w:val="24"/>
        </w:rPr>
        <w:t xml:space="preserve">, отраженных в Приложении № 5 к </w:t>
      </w:r>
      <w:r w:rsidR="00234824" w:rsidRPr="003407F2">
        <w:rPr>
          <w:rFonts w:ascii="Times New Roman" w:hAnsi="Times New Roman" w:cs="Times New Roman"/>
          <w:sz w:val="24"/>
          <w:szCs w:val="24"/>
        </w:rPr>
        <w:t>проекту решения «Об утверждении отчета об исполнении бюджета</w:t>
      </w:r>
      <w:r w:rsidR="00234824">
        <w:rPr>
          <w:rFonts w:ascii="TimesNewRomanPSMT" w:hAnsi="TimesNewRomanPSMT" w:cs="TimesNewRomanPSMT"/>
          <w:sz w:val="24"/>
          <w:szCs w:val="24"/>
        </w:rPr>
        <w:t xml:space="preserve"> Новоигирминского городского поселения МО за 2014 год», </w:t>
      </w:r>
      <w:r w:rsidR="00234824">
        <w:rPr>
          <w:rFonts w:ascii="Times New Roman" w:hAnsi="Times New Roman" w:cs="Times New Roman"/>
          <w:sz w:val="24"/>
          <w:szCs w:val="24"/>
        </w:rPr>
        <w:t xml:space="preserve">по КФСР </w:t>
      </w:r>
      <w:r w:rsidRPr="003407F2">
        <w:rPr>
          <w:rFonts w:ascii="Times New Roman" w:hAnsi="Times New Roman" w:cs="Times New Roman"/>
          <w:sz w:val="24"/>
          <w:szCs w:val="24"/>
        </w:rPr>
        <w:t xml:space="preserve"> </w:t>
      </w:r>
      <w:r w:rsidR="001A7585">
        <w:rPr>
          <w:rFonts w:ascii="Times New Roman" w:hAnsi="Times New Roman" w:cs="Times New Roman"/>
          <w:sz w:val="24"/>
          <w:szCs w:val="24"/>
        </w:rPr>
        <w:t>04.12, 08.00, 08.04, 11.05</w:t>
      </w:r>
      <w:r w:rsidR="00696EE4">
        <w:rPr>
          <w:rFonts w:ascii="Times New Roman" w:hAnsi="Times New Roman" w:cs="Times New Roman"/>
          <w:sz w:val="24"/>
          <w:szCs w:val="24"/>
        </w:rPr>
        <w:t>.</w:t>
      </w:r>
    </w:p>
    <w:p w:rsidR="005718B2" w:rsidRPr="00B159E5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BAC">
        <w:rPr>
          <w:rFonts w:ascii="Times New Roman" w:hAnsi="Times New Roman" w:cs="Times New Roman"/>
          <w:sz w:val="24"/>
          <w:szCs w:val="24"/>
        </w:rPr>
        <w:t>Данное замечание согласно представленным документам Финансовым управлением администрации Нижнеилимского муниципального района устранено.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Наиболее наглядно исполнение </w:t>
      </w:r>
      <w:r w:rsidR="008F7E52">
        <w:rPr>
          <w:rFonts w:ascii="TimesNewRomanPSMT" w:hAnsi="TimesNewRomanPSMT" w:cs="TimesNewRomanPSMT"/>
          <w:sz w:val="24"/>
          <w:szCs w:val="24"/>
        </w:rPr>
        <w:t xml:space="preserve">расходных обязательств </w:t>
      </w:r>
      <w:r>
        <w:rPr>
          <w:rFonts w:ascii="TimesNewRomanPSMT" w:hAnsi="TimesNewRomanPSMT" w:cs="TimesNewRomanPSMT"/>
          <w:sz w:val="24"/>
          <w:szCs w:val="24"/>
        </w:rPr>
        <w:t xml:space="preserve">бюджета поселения </w:t>
      </w:r>
      <w:r w:rsidR="008F7E52">
        <w:rPr>
          <w:rFonts w:ascii="TimesNewRomanPSMT" w:hAnsi="TimesNewRomanPSMT" w:cs="TimesNewRomanPSMT"/>
          <w:sz w:val="24"/>
          <w:szCs w:val="24"/>
        </w:rPr>
        <w:t>по годам</w:t>
      </w:r>
      <w:r>
        <w:rPr>
          <w:rFonts w:ascii="TimesNewRomanPSMT" w:hAnsi="TimesNewRomanPSMT" w:cs="TimesNewRomanPSMT"/>
          <w:sz w:val="24"/>
          <w:szCs w:val="24"/>
        </w:rPr>
        <w:t xml:space="preserve"> отражено в графике на рисунке № 3.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288" cy="2611395"/>
            <wp:effectExtent l="19050" t="0" r="1426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5718B2" w:rsidRPr="004076F0" w:rsidRDefault="005718B2" w:rsidP="005718B2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структуре расходов бюджета поселения основная доля приходится на раздел</w:t>
      </w:r>
      <w:r w:rsidR="008F7E52"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76F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>, «Жилищно-коммунальное хозяйство» и «Культура, кинематография».</w:t>
      </w:r>
    </w:p>
    <w:p w:rsidR="00E1260B" w:rsidRDefault="005718B2" w:rsidP="00E1260B">
      <w:pPr>
        <w:pStyle w:val="a8"/>
        <w:ind w:right="-142" w:firstLine="708"/>
        <w:rPr>
          <w:rFonts w:ascii="TimesNewRomanPSMT" w:hAnsi="TimesNewRomanPSMT" w:cs="TimesNewRomanPSMT"/>
        </w:rPr>
      </w:pPr>
      <w:r w:rsidRPr="002D648B">
        <w:t>Анализ исполнения расход</w:t>
      </w:r>
      <w:r w:rsidR="00E1260B">
        <w:t xml:space="preserve">ной части </w:t>
      </w:r>
      <w:r w:rsidRPr="002D648B">
        <w:t xml:space="preserve">бюджета </w:t>
      </w:r>
      <w:r w:rsidR="00E1260B">
        <w:t>городского поселения установил: структура расходов бюджета 2014 года с незначительными отклонениями соответствует структуре расходов 2013 года,</w:t>
      </w:r>
      <w:r w:rsidR="00E1260B" w:rsidRPr="00E1260B">
        <w:rPr>
          <w:rFonts w:ascii="TimesNewRomanPSMT" w:hAnsi="TimesNewRomanPSMT" w:cs="TimesNewRomanPSMT"/>
        </w:rPr>
        <w:t xml:space="preserve"> </w:t>
      </w:r>
      <w:r w:rsidR="00E1260B">
        <w:rPr>
          <w:rFonts w:ascii="TimesNewRomanPSMT" w:hAnsi="TimesNewRomanPSMT" w:cs="TimesNewRomanPSMT"/>
        </w:rPr>
        <w:t>исключение составили расходы по разделу «Жилищно-коммунальное хозяйство», по которому наблюдается у</w:t>
      </w:r>
      <w:r w:rsidR="00E1260B" w:rsidRPr="000768EA">
        <w:rPr>
          <w:rFonts w:ascii="TimesNewRomanPSMT" w:hAnsi="TimesNewRomanPSMT" w:cs="TimesNewRomanPSMT"/>
        </w:rPr>
        <w:t xml:space="preserve">меньшение расходов по сравнению с 2013 годом </w:t>
      </w:r>
      <w:r w:rsidR="00E1260B">
        <w:rPr>
          <w:rFonts w:ascii="TimesNewRomanPSMT" w:hAnsi="TimesNewRomanPSMT" w:cs="TimesNewRomanPSMT"/>
        </w:rPr>
        <w:t>на 2 265,8 тыс. рублей на 23 %, в связи с уменьшением объема межбюджетных трансфертов, выделяемых бюджету поселения.</w:t>
      </w:r>
    </w:p>
    <w:p w:rsidR="005718B2" w:rsidRDefault="00A134AE" w:rsidP="00A134AE">
      <w:pPr>
        <w:pStyle w:val="a8"/>
        <w:ind w:right="-142" w:firstLine="0"/>
      </w:pPr>
      <w:r>
        <w:t xml:space="preserve">         </w:t>
      </w:r>
      <w:r w:rsidR="00E1260B">
        <w:t xml:space="preserve">  </w:t>
      </w:r>
      <w:r w:rsidR="005718B2" w:rsidRPr="002D648B">
        <w:t xml:space="preserve">Бюджетные </w:t>
      </w:r>
      <w:r w:rsidR="002D02CA">
        <w:t>ассигнования</w:t>
      </w:r>
      <w:r w:rsidR="005718B2" w:rsidRPr="002D648B">
        <w:t xml:space="preserve"> по разделу </w:t>
      </w:r>
      <w:r w:rsidR="005718B2" w:rsidRPr="002D648B">
        <w:rPr>
          <w:b/>
          <w:i/>
        </w:rPr>
        <w:t>«</w:t>
      </w:r>
      <w:r w:rsidR="005718B2" w:rsidRPr="00DB6B68">
        <w:rPr>
          <w:i/>
        </w:rPr>
        <w:t xml:space="preserve">Общегосударственные вопросы» </w:t>
      </w:r>
      <w:r w:rsidR="005718B2" w:rsidRPr="002D648B">
        <w:t xml:space="preserve">составили </w:t>
      </w:r>
      <w:r w:rsidR="00E23A8A">
        <w:t>19 981,1</w:t>
      </w:r>
      <w:r w:rsidR="005718B2" w:rsidRPr="002D648B">
        <w:t xml:space="preserve"> тыс.</w:t>
      </w:r>
      <w:r w:rsidR="005718B2">
        <w:t xml:space="preserve"> </w:t>
      </w:r>
      <w:r w:rsidR="005718B2" w:rsidRPr="002D648B">
        <w:t>руб</w:t>
      </w:r>
      <w:r w:rsidR="005718B2">
        <w:t>лей</w:t>
      </w:r>
      <w:r w:rsidR="005718B2" w:rsidRPr="002D648B">
        <w:t xml:space="preserve"> или </w:t>
      </w:r>
      <w:r w:rsidR="00E23A8A">
        <w:t>95</w:t>
      </w:r>
      <w:r w:rsidR="005718B2">
        <w:t xml:space="preserve"> </w:t>
      </w:r>
      <w:r w:rsidR="005718B2" w:rsidRPr="002D648B">
        <w:t xml:space="preserve">% от плановых </w:t>
      </w:r>
      <w:r w:rsidR="005718B2">
        <w:t>бюджетных назначений</w:t>
      </w:r>
      <w:r w:rsidR="005718B2" w:rsidRPr="002D648B">
        <w:t xml:space="preserve">. 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на финансирование высшего должностного лица муниципального образования исполнены в сумме </w:t>
      </w:r>
      <w:r w:rsidR="00E23A8A">
        <w:rPr>
          <w:rFonts w:ascii="Times New Roman" w:hAnsi="Times New Roman" w:cs="Times New Roman"/>
          <w:sz w:val="24"/>
          <w:szCs w:val="24"/>
        </w:rPr>
        <w:t>1 569,2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23A8A">
        <w:rPr>
          <w:rFonts w:ascii="Times New Roman" w:hAnsi="Times New Roman" w:cs="Times New Roman"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="00E23A8A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назначений.</w:t>
      </w:r>
    </w:p>
    <w:p w:rsidR="006A5C69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Расходы на </w:t>
      </w:r>
      <w:r w:rsidR="00BE47EF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</w:t>
      </w:r>
      <w:r w:rsidR="00A134AE">
        <w:rPr>
          <w:rFonts w:ascii="Times New Roman" w:hAnsi="Times New Roman" w:cs="Times New Roman"/>
          <w:sz w:val="24"/>
          <w:szCs w:val="24"/>
        </w:rPr>
        <w:t>Новоиг</w:t>
      </w:r>
      <w:r w:rsidR="00245F2D">
        <w:rPr>
          <w:rFonts w:ascii="Times New Roman" w:hAnsi="Times New Roman" w:cs="Times New Roman"/>
          <w:sz w:val="24"/>
          <w:szCs w:val="24"/>
        </w:rPr>
        <w:t>и</w:t>
      </w:r>
      <w:r w:rsidR="00A134AE">
        <w:rPr>
          <w:rFonts w:ascii="Times New Roman" w:hAnsi="Times New Roman" w:cs="Times New Roman"/>
          <w:sz w:val="24"/>
          <w:szCs w:val="24"/>
        </w:rPr>
        <w:t>рминского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составили </w:t>
      </w:r>
      <w:r w:rsidR="00245F2D">
        <w:rPr>
          <w:rFonts w:ascii="Times New Roman" w:hAnsi="Times New Roman" w:cs="Times New Roman"/>
          <w:sz w:val="24"/>
          <w:szCs w:val="24"/>
        </w:rPr>
        <w:t xml:space="preserve">1 556,2 </w:t>
      </w:r>
      <w:r>
        <w:rPr>
          <w:rFonts w:ascii="Times New Roman" w:hAnsi="Times New Roman" w:cs="Times New Roman"/>
          <w:sz w:val="24"/>
          <w:szCs w:val="24"/>
        </w:rPr>
        <w:t xml:space="preserve">тыс. рублей при плановых бюджетных назначениях </w:t>
      </w:r>
      <w:r w:rsidR="00245F2D">
        <w:rPr>
          <w:rFonts w:ascii="Times New Roman" w:hAnsi="Times New Roman" w:cs="Times New Roman"/>
          <w:sz w:val="24"/>
          <w:szCs w:val="24"/>
        </w:rPr>
        <w:t>93,7</w:t>
      </w:r>
      <w:r w:rsidR="00BE47EF">
        <w:rPr>
          <w:rFonts w:ascii="Times New Roman" w:hAnsi="Times New Roman" w:cs="Times New Roman"/>
          <w:sz w:val="24"/>
          <w:szCs w:val="24"/>
        </w:rPr>
        <w:t xml:space="preserve">%. КСП района отмечает, что председателю Думы Новоигирминского ГП в 2014 году была выплачена компенсация за неиспользованный ежегодный отпуск на сумму </w:t>
      </w:r>
      <w:r w:rsidR="000D4026">
        <w:rPr>
          <w:rFonts w:ascii="Times New Roman" w:hAnsi="Times New Roman" w:cs="Times New Roman"/>
          <w:sz w:val="24"/>
          <w:szCs w:val="24"/>
        </w:rPr>
        <w:t>52,65 тыс. рублей,</w:t>
      </w:r>
      <w:r w:rsidR="00BE47EF">
        <w:rPr>
          <w:rFonts w:ascii="Times New Roman" w:hAnsi="Times New Roman" w:cs="Times New Roman"/>
          <w:sz w:val="24"/>
          <w:szCs w:val="24"/>
        </w:rPr>
        <w:t xml:space="preserve"> которые повлекли излишние расходы бюджета на содержание представительного органа.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на функционирование местной  администрации исполнены в сумме </w:t>
      </w:r>
      <w:r w:rsidR="00691631">
        <w:rPr>
          <w:rFonts w:ascii="Times New Roman" w:hAnsi="Times New Roman" w:cs="Times New Roman"/>
          <w:sz w:val="24"/>
          <w:szCs w:val="24"/>
        </w:rPr>
        <w:t>15 188,4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F3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691631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поселения, прочих услуг, увеличения стоимости основных средств и материальных запасов.  </w:t>
      </w:r>
      <w:r w:rsidR="005B00F4">
        <w:rPr>
          <w:rFonts w:ascii="Times New Roman" w:hAnsi="Times New Roman" w:cs="Times New Roman"/>
          <w:sz w:val="24"/>
          <w:szCs w:val="24"/>
        </w:rPr>
        <w:t xml:space="preserve">В ходе проведения экспертно-аналитического мероприятия было установлено, что были произведены расходы за услуги ОВО по Нижнеилимскому району (услуги охраны) в сумме 84 тыс. рублей, при этом, в представленном реестре муниципального имущества Новоигирминского МО на 31.12.2014г. </w:t>
      </w:r>
      <w:r w:rsidR="007B7183">
        <w:rPr>
          <w:rFonts w:ascii="Times New Roman" w:hAnsi="Times New Roman" w:cs="Times New Roman"/>
          <w:sz w:val="24"/>
          <w:szCs w:val="24"/>
        </w:rPr>
        <w:t xml:space="preserve">и на балансе учреждения </w:t>
      </w:r>
      <w:r w:rsidR="005B00F4">
        <w:rPr>
          <w:rFonts w:ascii="Times New Roman" w:hAnsi="Times New Roman" w:cs="Times New Roman"/>
          <w:sz w:val="24"/>
          <w:szCs w:val="24"/>
        </w:rPr>
        <w:t>нежилое здание по адресу: п. Новая Игирма, ул. Пионерская, д. 2</w:t>
      </w:r>
      <w:r w:rsidR="00985AEC">
        <w:rPr>
          <w:rFonts w:ascii="Times New Roman" w:hAnsi="Times New Roman" w:cs="Times New Roman"/>
          <w:sz w:val="24"/>
          <w:szCs w:val="24"/>
        </w:rPr>
        <w:t>9</w:t>
      </w:r>
      <w:r w:rsidR="005B00F4">
        <w:rPr>
          <w:rFonts w:ascii="Times New Roman" w:hAnsi="Times New Roman" w:cs="Times New Roman"/>
          <w:sz w:val="24"/>
          <w:szCs w:val="24"/>
        </w:rPr>
        <w:t>, занимаемое Админи</w:t>
      </w:r>
      <w:r w:rsidR="00EC50D5">
        <w:rPr>
          <w:rFonts w:ascii="Times New Roman" w:hAnsi="Times New Roman" w:cs="Times New Roman"/>
          <w:sz w:val="24"/>
          <w:szCs w:val="24"/>
        </w:rPr>
        <w:t>страцией поселения, отсутствует (ст. 34 БК РФ).</w:t>
      </w:r>
    </w:p>
    <w:p w:rsidR="005718B2" w:rsidRPr="0082695E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8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695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органов местного самоуправления на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2695E">
        <w:rPr>
          <w:rFonts w:ascii="Times New Roman" w:hAnsi="Times New Roman" w:cs="Times New Roman"/>
          <w:sz w:val="24"/>
          <w:szCs w:val="24"/>
        </w:rPr>
        <w:t>.2014 года</w:t>
      </w:r>
      <w:r w:rsidR="005B00F4">
        <w:rPr>
          <w:rFonts w:ascii="Times New Roman" w:hAnsi="Times New Roman" w:cs="Times New Roman"/>
          <w:sz w:val="24"/>
          <w:szCs w:val="24"/>
        </w:rPr>
        <w:t xml:space="preserve">, как и в предыдущем году, </w:t>
      </w:r>
      <w:r w:rsidRPr="0082695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B00F4">
        <w:rPr>
          <w:rFonts w:ascii="Times New Roman" w:hAnsi="Times New Roman" w:cs="Times New Roman"/>
          <w:sz w:val="24"/>
          <w:szCs w:val="24"/>
        </w:rPr>
        <w:t xml:space="preserve">28,5 </w:t>
      </w:r>
      <w:r w:rsidRPr="0082695E">
        <w:rPr>
          <w:rFonts w:ascii="Times New Roman" w:hAnsi="Times New Roman" w:cs="Times New Roman"/>
          <w:sz w:val="24"/>
          <w:szCs w:val="24"/>
        </w:rPr>
        <w:t xml:space="preserve">штатных единиц. </w:t>
      </w:r>
    </w:p>
    <w:p w:rsidR="005718B2" w:rsidRDefault="005718B2" w:rsidP="005718B2">
      <w:pPr>
        <w:pStyle w:val="a8"/>
        <w:ind w:right="-141" w:firstLine="708"/>
      </w:pPr>
      <w:r w:rsidRPr="00A0678A"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>
        <w:t xml:space="preserve">исполнительно-распорядительного органа муниципального образования) в Иркутской области, </w:t>
      </w:r>
      <w:r w:rsidRPr="00A0678A">
        <w:t>утвержден</w:t>
      </w:r>
      <w:r>
        <w:t>ными</w:t>
      </w:r>
      <w:r w:rsidRPr="00A0678A">
        <w:t xml:space="preserve"> Приказом министерства экономического развития</w:t>
      </w:r>
      <w:r>
        <w:t xml:space="preserve"> и промышленности</w:t>
      </w:r>
      <w:r w:rsidRPr="00A0678A">
        <w:t xml:space="preserve"> Иркутской области от </w:t>
      </w:r>
      <w:r>
        <w:t>28</w:t>
      </w:r>
      <w:r w:rsidRPr="00A0678A">
        <w:t>.1</w:t>
      </w:r>
      <w:r>
        <w:t>1</w:t>
      </w:r>
      <w:r w:rsidRPr="00A0678A">
        <w:t>.20</w:t>
      </w:r>
      <w:r>
        <w:t>12</w:t>
      </w:r>
      <w:r w:rsidRPr="00A0678A">
        <w:t xml:space="preserve"> года № </w:t>
      </w:r>
      <w:r>
        <w:t>57</w:t>
      </w:r>
      <w:r w:rsidRPr="00A0678A">
        <w:t>-мпр</w:t>
      </w:r>
      <w:r>
        <w:t xml:space="preserve">, </w:t>
      </w:r>
      <w:r w:rsidRPr="00A0678A">
        <w:t>не превышен</w:t>
      </w:r>
      <w:r>
        <w:t>.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DB6B68">
        <w:rPr>
          <w:rFonts w:ascii="Times New Roman" w:hAnsi="Times New Roman" w:cs="Times New Roman"/>
          <w:i/>
          <w:sz w:val="24"/>
          <w:szCs w:val="24"/>
        </w:rPr>
        <w:t>«Национальная оборона»</w:t>
      </w:r>
      <w:r w:rsidRPr="00C21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5B00F4">
        <w:rPr>
          <w:rFonts w:ascii="Times New Roman" w:hAnsi="Times New Roman" w:cs="Times New Roman"/>
          <w:sz w:val="24"/>
          <w:szCs w:val="24"/>
        </w:rPr>
        <w:t>798,1</w:t>
      </w:r>
      <w:r w:rsidRPr="00C2149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2149D">
        <w:rPr>
          <w:rFonts w:ascii="Times New Roman" w:hAnsi="Times New Roman" w:cs="Times New Roman"/>
          <w:sz w:val="24"/>
          <w:szCs w:val="24"/>
        </w:rPr>
        <w:t xml:space="preserve"> или 100 % к </w:t>
      </w:r>
      <w:r>
        <w:rPr>
          <w:rFonts w:ascii="Times New Roman" w:hAnsi="Times New Roman" w:cs="Times New Roman"/>
          <w:sz w:val="24"/>
          <w:szCs w:val="24"/>
        </w:rPr>
        <w:t xml:space="preserve">уточненному </w:t>
      </w:r>
      <w:r w:rsidRPr="00C2149D">
        <w:rPr>
          <w:rFonts w:ascii="Times New Roman" w:hAnsi="Times New Roman" w:cs="Times New Roman"/>
          <w:sz w:val="24"/>
          <w:szCs w:val="24"/>
        </w:rPr>
        <w:t>плану.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данному разделу отражены расходы, направленные на содержание </w:t>
      </w:r>
      <w:r w:rsidR="0098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штатн</w:t>
      </w:r>
      <w:r w:rsidR="00985AE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единиц  по ведению первичного воинского учета, в том числе на оплату труда и начисления в сумме </w:t>
      </w:r>
      <w:r w:rsidR="005B00F4">
        <w:rPr>
          <w:rFonts w:ascii="Times New Roman" w:hAnsi="Times New Roman" w:cs="Times New Roman"/>
          <w:sz w:val="24"/>
          <w:szCs w:val="24"/>
        </w:rPr>
        <w:t>717,4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18B2" w:rsidRDefault="005718B2" w:rsidP="005718B2">
      <w:pPr>
        <w:widowControl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 по разделу </w:t>
      </w:r>
      <w:r w:rsidRPr="007A7E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7A7E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Национальная экономика»</w:t>
      </w: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E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исполнены в сумме </w:t>
      </w:r>
      <w:r w:rsidR="005B00F4">
        <w:rPr>
          <w:rFonts w:ascii="Times New Roman" w:hAnsi="Times New Roman" w:cs="Times New Roman"/>
          <w:sz w:val="24"/>
          <w:szCs w:val="24"/>
        </w:rPr>
        <w:t>2 685,4</w:t>
      </w: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77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E52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5B00F4">
        <w:rPr>
          <w:rFonts w:ascii="Times New Roman" w:hAnsi="Times New Roman" w:cs="Times New Roman"/>
          <w:sz w:val="24"/>
          <w:szCs w:val="24"/>
        </w:rPr>
        <w:t>92,6</w:t>
      </w: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 на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7A7E52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5718B2" w:rsidRPr="007A7E52" w:rsidRDefault="00C75075" w:rsidP="005718B2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8B2">
        <w:rPr>
          <w:rFonts w:ascii="Times New Roman" w:hAnsi="Times New Roman" w:cs="Times New Roman"/>
          <w:sz w:val="24"/>
          <w:szCs w:val="24"/>
        </w:rPr>
        <w:t xml:space="preserve"> </w:t>
      </w:r>
      <w:r w:rsidR="005718B2" w:rsidRPr="007A7E52">
        <w:rPr>
          <w:rFonts w:ascii="Times New Roman" w:eastAsia="Calibri" w:hAnsi="Times New Roman" w:cs="Times New Roman"/>
          <w:sz w:val="24"/>
          <w:szCs w:val="24"/>
        </w:rPr>
        <w:t xml:space="preserve">По подразделу  </w:t>
      </w:r>
      <w:r w:rsidR="005718B2" w:rsidRPr="007A7E52">
        <w:rPr>
          <w:rFonts w:ascii="Times New Roman" w:eastAsia="Calibri" w:hAnsi="Times New Roman" w:cs="Times New Roman"/>
          <w:i/>
          <w:sz w:val="24"/>
          <w:szCs w:val="24"/>
        </w:rPr>
        <w:t>"Общеэкономические вопросы"</w:t>
      </w:r>
      <w:r w:rsidR="005718B2" w:rsidRPr="007A7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F60">
        <w:rPr>
          <w:rFonts w:ascii="Times New Roman" w:eastAsia="Calibri" w:hAnsi="Times New Roman" w:cs="Times New Roman"/>
          <w:sz w:val="24"/>
          <w:szCs w:val="24"/>
        </w:rPr>
        <w:t>предусмотренные субвенции на осуществление отдельных областных государственных полномочий в области регулирования тарифов в сумме 169,7 тыс. ру</w:t>
      </w:r>
      <w:r w:rsidR="002059A0">
        <w:rPr>
          <w:rFonts w:ascii="Times New Roman" w:eastAsia="Calibri" w:hAnsi="Times New Roman" w:cs="Times New Roman"/>
          <w:sz w:val="24"/>
          <w:szCs w:val="24"/>
        </w:rPr>
        <w:t>блей исполнены в полном объеме.</w:t>
      </w:r>
      <w:r w:rsidR="005718B2" w:rsidRPr="007A7E52">
        <w:rPr>
          <w:rFonts w:ascii="Times New Roman" w:eastAsia="Calibri" w:hAnsi="Times New Roman" w:cs="Times New Roman"/>
          <w:sz w:val="24"/>
          <w:szCs w:val="24"/>
        </w:rPr>
        <w:t xml:space="preserve"> Указанные средства направлены на </w:t>
      </w:r>
      <w:r w:rsidR="005718B2">
        <w:rPr>
          <w:rFonts w:ascii="Times New Roman" w:hAnsi="Times New Roman" w:cs="Times New Roman"/>
          <w:sz w:val="24"/>
          <w:szCs w:val="24"/>
        </w:rPr>
        <w:t>осуществление отдельных областных государственных полномочий в сфере водоснабжения и водоотведения.</w:t>
      </w:r>
    </w:p>
    <w:p w:rsidR="00AB0D23" w:rsidRDefault="00CE2F60" w:rsidP="005718B2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5718B2" w:rsidRPr="00A16C39">
        <w:rPr>
          <w:rFonts w:ascii="Times New Roman" w:eastAsia="Calibri" w:hAnsi="Times New Roman" w:cs="Times New Roman"/>
          <w:sz w:val="24"/>
          <w:szCs w:val="24"/>
        </w:rPr>
        <w:t xml:space="preserve"> подразделу </w:t>
      </w:r>
      <w:r w:rsidR="005718B2" w:rsidRPr="00A16C39">
        <w:rPr>
          <w:rFonts w:ascii="Times New Roman" w:eastAsia="Calibri" w:hAnsi="Times New Roman" w:cs="Times New Roman"/>
          <w:i/>
          <w:sz w:val="24"/>
          <w:szCs w:val="24"/>
        </w:rPr>
        <w:t>«Дорожное хозяйство (дорожные фонды)»</w:t>
      </w:r>
      <w:r w:rsidR="005718B2" w:rsidRPr="00A16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бюджетные ассигнования </w:t>
      </w:r>
      <w:r w:rsidR="005718B2" w:rsidRPr="00A16C39">
        <w:rPr>
          <w:rFonts w:ascii="Times New Roman" w:eastAsia="Calibri" w:hAnsi="Times New Roman" w:cs="Times New Roman"/>
          <w:sz w:val="24"/>
          <w:szCs w:val="24"/>
        </w:rPr>
        <w:t xml:space="preserve">исполнены в сумме </w:t>
      </w:r>
      <w:r>
        <w:rPr>
          <w:rFonts w:ascii="Times New Roman" w:hAnsi="Times New Roman" w:cs="Times New Roman"/>
          <w:sz w:val="24"/>
          <w:szCs w:val="24"/>
        </w:rPr>
        <w:t>2 296,7</w:t>
      </w:r>
      <w:r w:rsidR="005718B2" w:rsidRPr="00A16C3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71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8B2" w:rsidRPr="00A16C39">
        <w:rPr>
          <w:rFonts w:ascii="Times New Roman" w:eastAsia="Calibri" w:hAnsi="Times New Roman" w:cs="Times New Roman"/>
          <w:sz w:val="24"/>
          <w:szCs w:val="24"/>
        </w:rPr>
        <w:t>руб</w:t>
      </w:r>
      <w:r w:rsidR="005718B2">
        <w:rPr>
          <w:rFonts w:ascii="Times New Roman" w:hAnsi="Times New Roman" w:cs="Times New Roman"/>
          <w:sz w:val="24"/>
          <w:szCs w:val="24"/>
        </w:rPr>
        <w:t>лей</w:t>
      </w:r>
      <w:r w:rsidR="00555806">
        <w:rPr>
          <w:rFonts w:ascii="Times New Roman" w:hAnsi="Times New Roman" w:cs="Times New Roman"/>
          <w:sz w:val="24"/>
          <w:szCs w:val="24"/>
        </w:rPr>
        <w:t xml:space="preserve"> </w:t>
      </w:r>
      <w:r w:rsidR="005718B2" w:rsidRPr="00A16C39">
        <w:rPr>
          <w:rFonts w:ascii="Times New Roman" w:eastAsia="Calibri" w:hAnsi="Times New Roman" w:cs="Times New Roman"/>
          <w:sz w:val="24"/>
          <w:szCs w:val="24"/>
        </w:rPr>
        <w:t>и были направлены</w:t>
      </w:r>
      <w:r w:rsidR="00555806">
        <w:rPr>
          <w:rFonts w:ascii="Times New Roman" w:eastAsia="Calibri" w:hAnsi="Times New Roman" w:cs="Times New Roman"/>
          <w:sz w:val="24"/>
          <w:szCs w:val="24"/>
        </w:rPr>
        <w:t>, в том числе на</w:t>
      </w:r>
      <w:r w:rsidR="00AB0D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0D23" w:rsidRDefault="00AB0D23" w:rsidP="005718B2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сумме 36,13 тыс. рублей на разметку пешеходных переходов п. Новая Игирма;</w:t>
      </w:r>
    </w:p>
    <w:p w:rsidR="005718B2" w:rsidRDefault="00AB0D23" w:rsidP="005718B2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сумме 1 843,7 тыс. рублей на ремонт автодорог общего пользования местного значения по ул. Гагарина;</w:t>
      </w:r>
    </w:p>
    <w:p w:rsidR="00AB0D23" w:rsidRDefault="00AB0D23" w:rsidP="005718B2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сумме 330 тыс. рублей на ямочный ремонт дорог общего пользования местного значения в границах Новоигирминского ГП.</w:t>
      </w:r>
    </w:p>
    <w:p w:rsidR="00AB0D23" w:rsidRPr="00A23783" w:rsidRDefault="00AB0D23" w:rsidP="005718B2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подразделу </w:t>
      </w:r>
      <w:r w:rsidRPr="00DE7238">
        <w:rPr>
          <w:rFonts w:ascii="Times New Roman" w:eastAsia="Calibri" w:hAnsi="Times New Roman" w:cs="Times New Roman"/>
          <w:i/>
          <w:sz w:val="24"/>
          <w:szCs w:val="24"/>
        </w:rPr>
        <w:t>«Другие вопросы в области национальной экономики»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расходы исполнены в сумме 305,9 тыс. рублей за изготовление технической документации базы РСУ, технической документации автомобильных дорог и  подготовку выписки по генплану.</w:t>
      </w:r>
    </w:p>
    <w:p w:rsidR="005718B2" w:rsidRDefault="006472E6" w:rsidP="00576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18B2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разделу </w:t>
      </w:r>
      <w:r w:rsidR="005718B2" w:rsidRPr="00DB6B68">
        <w:rPr>
          <w:rFonts w:ascii="Times New Roman" w:hAnsi="Times New Roman" w:cs="Times New Roman"/>
          <w:i/>
          <w:color w:val="000000"/>
          <w:sz w:val="24"/>
          <w:szCs w:val="24"/>
        </w:rPr>
        <w:t>«Жилищно-коммунальное хозяйство»</w:t>
      </w:r>
      <w:r w:rsidR="005718B2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</w:t>
      </w:r>
      <w:r w:rsidR="00AB0D23">
        <w:rPr>
          <w:rFonts w:ascii="Times New Roman" w:hAnsi="Times New Roman" w:cs="Times New Roman"/>
          <w:color w:val="000000"/>
          <w:sz w:val="24"/>
          <w:szCs w:val="24"/>
        </w:rPr>
        <w:t>7 197,2</w:t>
      </w:r>
      <w:r w:rsidR="005718B2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571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8B2" w:rsidRPr="00465CD0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5718B2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5718B2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372665">
        <w:rPr>
          <w:rFonts w:ascii="Times New Roman" w:hAnsi="Times New Roman" w:cs="Times New Roman"/>
          <w:color w:val="000000"/>
          <w:sz w:val="24"/>
          <w:szCs w:val="24"/>
        </w:rPr>
        <w:t>88,6</w:t>
      </w:r>
      <w:r w:rsidR="005718B2" w:rsidRPr="00465CD0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назначений.</w:t>
      </w:r>
      <w:r w:rsidR="00571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2014 году по подразделу </w:t>
      </w:r>
      <w:r w:rsidRPr="00DE7238">
        <w:rPr>
          <w:rFonts w:ascii="Times New Roman" w:hAnsi="Times New Roman" w:cs="Times New Roman"/>
          <w:i/>
          <w:sz w:val="24"/>
          <w:szCs w:val="24"/>
        </w:rPr>
        <w:t>«Коммунальное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исполнено расходов в сумме </w:t>
      </w:r>
      <w:r w:rsidR="00372665">
        <w:rPr>
          <w:rFonts w:ascii="Times New Roman" w:hAnsi="Times New Roman" w:cs="Times New Roman"/>
          <w:sz w:val="24"/>
          <w:szCs w:val="24"/>
        </w:rPr>
        <w:t>2 296,7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6A85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72665">
        <w:rPr>
          <w:rFonts w:ascii="Times New Roman" w:hAnsi="Times New Roman" w:cs="Times New Roman"/>
          <w:sz w:val="24"/>
          <w:szCs w:val="24"/>
        </w:rPr>
        <w:t>74,2</w:t>
      </w:r>
      <w:r>
        <w:rPr>
          <w:rFonts w:ascii="Times New Roman" w:hAnsi="Times New Roman" w:cs="Times New Roman"/>
          <w:sz w:val="24"/>
          <w:szCs w:val="24"/>
        </w:rPr>
        <w:t>% от плана, в том числе:</w:t>
      </w:r>
    </w:p>
    <w:p w:rsidR="005718B2" w:rsidRPr="007504A3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83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01B06">
        <w:rPr>
          <w:rFonts w:ascii="Times New Roman" w:hAnsi="Times New Roman" w:cs="Times New Roman"/>
          <w:sz w:val="24"/>
          <w:szCs w:val="24"/>
        </w:rPr>
        <w:t xml:space="preserve">в </w:t>
      </w:r>
      <w:r w:rsidRPr="007504A3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372665">
        <w:rPr>
          <w:rFonts w:ascii="Times New Roman" w:hAnsi="Times New Roman" w:cs="Times New Roman"/>
          <w:sz w:val="24"/>
          <w:szCs w:val="24"/>
        </w:rPr>
        <w:t>Муниципальной программы «Модернизация объектов коммунальной инфраструктуры Новоигирминского муниципального образования на 201-2018 годы»</w:t>
      </w:r>
      <w:r w:rsidRPr="007504A3">
        <w:rPr>
          <w:rFonts w:ascii="Times New Roman" w:hAnsi="Times New Roman" w:cs="Times New Roman"/>
          <w:sz w:val="24"/>
          <w:szCs w:val="24"/>
        </w:rPr>
        <w:t xml:space="preserve"> бюджетные назначения в сумме </w:t>
      </w:r>
      <w:r w:rsidR="00372665">
        <w:rPr>
          <w:rFonts w:ascii="Times New Roman" w:hAnsi="Times New Roman" w:cs="Times New Roman"/>
          <w:sz w:val="24"/>
          <w:szCs w:val="24"/>
        </w:rPr>
        <w:t>714,7</w:t>
      </w:r>
      <w:r w:rsidRPr="007504A3">
        <w:rPr>
          <w:rFonts w:ascii="Times New Roman" w:hAnsi="Times New Roman" w:cs="Times New Roman"/>
          <w:sz w:val="24"/>
          <w:szCs w:val="24"/>
        </w:rPr>
        <w:t xml:space="preserve"> тыс. рублей были направлены на </w:t>
      </w:r>
      <w:r w:rsidR="00372665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теплотрассы, сетей водоснабжения по ул. Солнечная, ремонт котельного оборудования котельной № 2, организацию работ по профобучению специалистов</w:t>
      </w:r>
      <w:r w:rsidR="00555806">
        <w:rPr>
          <w:rFonts w:ascii="Times New Roman" w:hAnsi="Times New Roman" w:cs="Times New Roman"/>
          <w:sz w:val="24"/>
          <w:szCs w:val="24"/>
        </w:rPr>
        <w:t>;</w:t>
      </w:r>
    </w:p>
    <w:p w:rsidR="005718B2" w:rsidRDefault="005718B2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04A3">
        <w:rPr>
          <w:rFonts w:ascii="Times New Roman" w:hAnsi="Times New Roman" w:cs="Times New Roman"/>
          <w:sz w:val="24"/>
          <w:szCs w:val="24"/>
        </w:rPr>
        <w:t xml:space="preserve"> - в рамках реализации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B6134F">
        <w:rPr>
          <w:rFonts w:ascii="Times New Roman" w:hAnsi="Times New Roman" w:cs="Times New Roman"/>
          <w:sz w:val="24"/>
          <w:szCs w:val="24"/>
        </w:rPr>
        <w:t>1 465,4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6134F">
        <w:rPr>
          <w:rFonts w:ascii="Times New Roman" w:hAnsi="Times New Roman" w:cs="Times New Roman"/>
          <w:sz w:val="24"/>
          <w:szCs w:val="24"/>
        </w:rPr>
        <w:t xml:space="preserve"> на текущий ремонт линии топливоподачи по Котельной №2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04A3">
        <w:rPr>
          <w:rFonts w:ascii="Times New Roman" w:hAnsi="Times New Roman" w:cs="Times New Roman"/>
          <w:sz w:val="24"/>
          <w:szCs w:val="24"/>
        </w:rPr>
        <w:t xml:space="preserve"> </w:t>
      </w:r>
      <w:r w:rsidR="00B6134F">
        <w:rPr>
          <w:rFonts w:ascii="Times New Roman" w:hAnsi="Times New Roman" w:cs="Times New Roman"/>
          <w:sz w:val="24"/>
          <w:szCs w:val="24"/>
        </w:rPr>
        <w:t>приобретение насосов глубинных для водоснабжения населения питьевой водой и поставку компрессора шестеренчатого;</w:t>
      </w:r>
    </w:p>
    <w:p w:rsidR="00B6134F" w:rsidRPr="007504A3" w:rsidRDefault="00B6134F" w:rsidP="005718B2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реализации Государственной программы Иркутской области «Развитие жилищно-коммунального хозяйства в Иркутской области на 2014-2018 годы» межбюджетные трансферты в сумме 109 тыс. рублей были направлены </w:t>
      </w:r>
      <w:r w:rsidR="0055580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установку общедомовых приборов учета – </w:t>
      </w:r>
      <w:r w:rsidR="000D40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еплосчетчиков.</w:t>
      </w:r>
    </w:p>
    <w:p w:rsidR="008D1F01" w:rsidRDefault="00B6134F" w:rsidP="008D1F01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подразделу </w:t>
      </w:r>
      <w:r w:rsidRPr="00DE7238">
        <w:rPr>
          <w:rFonts w:ascii="Times New Roman" w:hAnsi="Times New Roman" w:cs="Times New Roman"/>
          <w:i/>
          <w:sz w:val="24"/>
          <w:szCs w:val="24"/>
        </w:rPr>
        <w:t>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4 900,5 тыс. рублей и были направлены в сумме 1 455,6 тыс. рублей на </w:t>
      </w:r>
      <w:r w:rsidR="008D1F01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освещения; в сумме</w:t>
      </w:r>
      <w:r w:rsidR="008D1F01">
        <w:rPr>
          <w:rFonts w:ascii="Times New Roman" w:hAnsi="Times New Roman" w:cs="Times New Roman"/>
          <w:sz w:val="24"/>
          <w:szCs w:val="24"/>
        </w:rPr>
        <w:t xml:space="preserve"> 1 104,3 тыс. рублей на благоустройство территории поселения; в сумме 222 тыс. рублей на строительство деревянных горок, монтаж елки, обслуживание фонтана, отлов бродящих собак; в сумме 1 867,1 тыс. рублей на изготовление автобусных остановок, приобретение электросирены и автомобиля самосвал для вывоза ТБО; в сумме 251,5 тыс. рублей на приобретение ламп для уличного освещения, дорожных знаков и другие расходы.</w:t>
      </w:r>
    </w:p>
    <w:p w:rsidR="005718B2" w:rsidRPr="008D1F01" w:rsidRDefault="005718B2" w:rsidP="008D1F01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FF0000"/>
          <w:spacing w:val="-4"/>
          <w:sz w:val="28"/>
          <w:szCs w:val="28"/>
        </w:rPr>
        <w:t xml:space="preserve">      </w:t>
      </w:r>
      <w:r>
        <w:rPr>
          <w:color w:val="FF0000"/>
          <w:spacing w:val="-4"/>
          <w:sz w:val="28"/>
          <w:szCs w:val="28"/>
        </w:rPr>
        <w:tab/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Общая сумма расходов по разделу </w:t>
      </w:r>
      <w:r w:rsidRPr="00DB6B68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«Культура, кинематография»</w:t>
      </w:r>
      <w:r w:rsidRPr="00DB6B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составила  </w:t>
      </w:r>
      <w:r w:rsidR="008D1F01">
        <w:rPr>
          <w:rFonts w:ascii="Times New Roman" w:hAnsi="Times New Roman" w:cs="Times New Roman"/>
          <w:color w:val="000000"/>
          <w:spacing w:val="-4"/>
          <w:sz w:val="24"/>
          <w:szCs w:val="24"/>
        </w:rPr>
        <w:t>18 423,6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</w:t>
      </w:r>
      <w:r w:rsidR="00C750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="008D1F01">
        <w:rPr>
          <w:rFonts w:ascii="Times New Roman" w:hAnsi="Times New Roman" w:cs="Times New Roman"/>
          <w:color w:val="000000"/>
          <w:spacing w:val="-4"/>
          <w:sz w:val="24"/>
          <w:szCs w:val="24"/>
        </w:rPr>
        <w:t>95,9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% от плана</w:t>
      </w:r>
      <w:r w:rsidRPr="00701B06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718B2" w:rsidRPr="00271DA8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Постановлением Администрации </w:t>
      </w:r>
      <w:r w:rsidR="000D402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ГП от </w:t>
      </w:r>
      <w:r w:rsidR="00271DA8">
        <w:rPr>
          <w:rFonts w:ascii="Times New Roman" w:hAnsi="Times New Roman" w:cs="Times New Roman"/>
          <w:color w:val="000000"/>
          <w:spacing w:val="-4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271DA8">
        <w:rPr>
          <w:rFonts w:ascii="Times New Roman" w:hAnsi="Times New Roman" w:cs="Times New Roman"/>
          <w:color w:val="000000"/>
          <w:spacing w:val="-4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.201</w:t>
      </w:r>
      <w:r w:rsidR="00271DA8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</w:t>
      </w:r>
      <w:r w:rsidR="00271DA8">
        <w:rPr>
          <w:rFonts w:ascii="Times New Roman" w:hAnsi="Times New Roman" w:cs="Times New Roman"/>
          <w:color w:val="000000"/>
          <w:spacing w:val="-4"/>
          <w:sz w:val="24"/>
          <w:szCs w:val="24"/>
        </w:rPr>
        <w:t>127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создано МКУ «Тех</w:t>
      </w:r>
      <w:r w:rsidR="00271DA8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ервис</w:t>
      </w:r>
      <w:r w:rsidR="00271D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Прометей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для технического и хозяйственного содержания и обслуживания </w:t>
      </w:r>
      <w:r>
        <w:rPr>
          <w:rFonts w:ascii="Times New Roman" w:hAnsi="Times New Roman" w:cs="Times New Roman"/>
          <w:sz w:val="24"/>
          <w:szCs w:val="24"/>
        </w:rPr>
        <w:t>МУК «</w:t>
      </w:r>
      <w:r w:rsidR="00271DA8">
        <w:rPr>
          <w:rFonts w:ascii="Times New Roman" w:hAnsi="Times New Roman" w:cs="Times New Roman"/>
          <w:sz w:val="24"/>
          <w:szCs w:val="24"/>
        </w:rPr>
        <w:t>Городской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71DA8">
        <w:rPr>
          <w:rFonts w:ascii="Times New Roman" w:hAnsi="Times New Roman" w:cs="Times New Roman"/>
          <w:sz w:val="24"/>
          <w:szCs w:val="24"/>
        </w:rPr>
        <w:t>Прометей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1DA8">
        <w:rPr>
          <w:rFonts w:ascii="Times New Roman" w:hAnsi="Times New Roman" w:cs="Times New Roman"/>
          <w:sz w:val="24"/>
          <w:szCs w:val="24"/>
        </w:rPr>
        <w:t xml:space="preserve"> со штатной численностью 14,5 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 по МКУ «Тех</w:t>
      </w:r>
      <w:r w:rsidR="00271D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ервис</w:t>
      </w:r>
      <w:r w:rsidR="00271DA8">
        <w:rPr>
          <w:rFonts w:ascii="Times New Roman" w:hAnsi="Times New Roman" w:cs="Times New Roman"/>
          <w:sz w:val="24"/>
          <w:szCs w:val="24"/>
        </w:rPr>
        <w:t xml:space="preserve"> Прометей</w:t>
      </w:r>
      <w:r>
        <w:rPr>
          <w:rFonts w:ascii="Times New Roman" w:hAnsi="Times New Roman" w:cs="Times New Roman"/>
          <w:sz w:val="24"/>
          <w:szCs w:val="24"/>
        </w:rPr>
        <w:t xml:space="preserve">» исполнены в сумме </w:t>
      </w:r>
      <w:r w:rsidR="00271DA8">
        <w:rPr>
          <w:rFonts w:ascii="Times New Roman" w:hAnsi="Times New Roman" w:cs="Times New Roman"/>
          <w:sz w:val="24"/>
          <w:szCs w:val="24"/>
        </w:rPr>
        <w:t>1 842,2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71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%), в том числе на заработную плату и начисления на нее – </w:t>
      </w:r>
      <w:r w:rsidR="00C6174C">
        <w:rPr>
          <w:rFonts w:ascii="Times New Roman" w:hAnsi="Times New Roman" w:cs="Times New Roman"/>
          <w:sz w:val="24"/>
          <w:szCs w:val="24"/>
        </w:rPr>
        <w:t>1 834,7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</w:p>
    <w:p w:rsidR="005718B2" w:rsidRDefault="002A3CF9" w:rsidP="002A3CF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5718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="005718B2" w:rsidRPr="00701B06">
        <w:rPr>
          <w:rFonts w:ascii="Times New Roman" w:hAnsi="Times New Roman" w:cs="Times New Roman"/>
          <w:sz w:val="24"/>
          <w:szCs w:val="24"/>
        </w:rPr>
        <w:t xml:space="preserve">бъем бюджетных </w:t>
      </w:r>
      <w:r w:rsidR="005718B2">
        <w:rPr>
          <w:rFonts w:ascii="Times New Roman" w:hAnsi="Times New Roman" w:cs="Times New Roman"/>
          <w:sz w:val="24"/>
          <w:szCs w:val="24"/>
        </w:rPr>
        <w:t>назначений</w:t>
      </w:r>
      <w:r w:rsidR="005718B2" w:rsidRPr="00701B06">
        <w:rPr>
          <w:rFonts w:ascii="Times New Roman" w:hAnsi="Times New Roman" w:cs="Times New Roman"/>
          <w:sz w:val="24"/>
          <w:szCs w:val="24"/>
        </w:rPr>
        <w:t xml:space="preserve"> </w:t>
      </w:r>
      <w:r w:rsidR="00C6174C">
        <w:rPr>
          <w:rFonts w:ascii="Times New Roman" w:hAnsi="Times New Roman" w:cs="Times New Roman"/>
          <w:sz w:val="24"/>
          <w:szCs w:val="24"/>
        </w:rPr>
        <w:t>МУК «Городской дом культуры «Прометей»</w:t>
      </w:r>
      <w:r w:rsidR="005718B2" w:rsidRPr="00701B06">
        <w:rPr>
          <w:rFonts w:ascii="Times New Roman" w:hAnsi="Times New Roman" w:cs="Times New Roman"/>
          <w:sz w:val="24"/>
          <w:szCs w:val="24"/>
        </w:rPr>
        <w:t xml:space="preserve"> </w:t>
      </w:r>
      <w:r w:rsidR="006369C1">
        <w:rPr>
          <w:rFonts w:ascii="Times New Roman" w:hAnsi="Times New Roman" w:cs="Times New Roman"/>
          <w:sz w:val="24"/>
          <w:szCs w:val="24"/>
        </w:rPr>
        <w:t xml:space="preserve">(далее – МУК «Прометей») </w:t>
      </w:r>
      <w:r w:rsidR="005718B2" w:rsidRPr="00701B06">
        <w:rPr>
          <w:rFonts w:ascii="Times New Roman" w:hAnsi="Times New Roman" w:cs="Times New Roman"/>
          <w:sz w:val="24"/>
          <w:szCs w:val="24"/>
        </w:rPr>
        <w:t>направлен на исполнение расходов на оплату труда с начислениями (</w:t>
      </w:r>
      <w:r w:rsidR="004B04C5">
        <w:rPr>
          <w:rFonts w:ascii="Times New Roman" w:hAnsi="Times New Roman" w:cs="Times New Roman"/>
          <w:sz w:val="24"/>
          <w:szCs w:val="24"/>
        </w:rPr>
        <w:t>12 799,4</w:t>
      </w:r>
      <w:r w:rsidR="005718B2" w:rsidRPr="00701B06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5718B2" w:rsidRPr="00701B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Средства в сумме </w:t>
      </w:r>
      <w:r w:rsidR="004B04C5">
        <w:rPr>
          <w:rFonts w:ascii="Times New Roman" w:hAnsi="Times New Roman" w:cs="Times New Roman"/>
          <w:color w:val="000000"/>
          <w:spacing w:val="-4"/>
          <w:sz w:val="24"/>
          <w:szCs w:val="24"/>
        </w:rPr>
        <w:t>3 782</w:t>
      </w:r>
      <w:r w:rsidR="005718B2" w:rsidRPr="00701B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 рублей были направлены</w:t>
      </w:r>
      <w:r w:rsidR="00692B22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="005718B2" w:rsidRPr="00701B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оплату </w:t>
      </w:r>
      <w:r w:rsidR="005718B2" w:rsidRPr="00701B06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692B22">
        <w:rPr>
          <w:rFonts w:ascii="Times New Roman" w:hAnsi="Times New Roman" w:cs="Times New Roman"/>
          <w:sz w:val="24"/>
          <w:szCs w:val="24"/>
        </w:rPr>
        <w:t>;</w:t>
      </w:r>
      <w:r w:rsidR="005718B2" w:rsidRPr="00701B06">
        <w:rPr>
          <w:rFonts w:ascii="Times New Roman" w:hAnsi="Times New Roman" w:cs="Times New Roman"/>
          <w:sz w:val="24"/>
          <w:szCs w:val="24"/>
        </w:rPr>
        <w:t xml:space="preserve"> </w:t>
      </w:r>
      <w:r w:rsidR="00692B22">
        <w:rPr>
          <w:rFonts w:ascii="Times New Roman" w:hAnsi="Times New Roman" w:cs="Times New Roman"/>
          <w:sz w:val="24"/>
          <w:szCs w:val="24"/>
        </w:rPr>
        <w:t>в рамках мероприятий проекта народных инициатив был произведен ремонт кровли здания культуры (300 тыс. рублей); за счет средств областного бюджета приобретены светодиодные прожекторы и музыкальное оборудование (435 тыс. рублей); прочие расходы.</w:t>
      </w:r>
    </w:p>
    <w:p w:rsidR="00EC50D5" w:rsidRDefault="006369C1" w:rsidP="002A3CF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533C">
        <w:rPr>
          <w:rFonts w:ascii="Times New Roman" w:hAnsi="Times New Roman" w:cs="Times New Roman"/>
          <w:sz w:val="24"/>
          <w:szCs w:val="24"/>
        </w:rPr>
        <w:t xml:space="preserve">В ходе экспертно-аналитического мероприятия было установлено, что согласно договору аренды </w:t>
      </w:r>
      <w:r w:rsidR="00E15A65">
        <w:rPr>
          <w:rFonts w:ascii="Times New Roman" w:hAnsi="Times New Roman" w:cs="Times New Roman"/>
          <w:sz w:val="24"/>
          <w:szCs w:val="24"/>
        </w:rPr>
        <w:t xml:space="preserve">от 01.01.2014 </w:t>
      </w:r>
      <w:r w:rsidR="006E533C">
        <w:rPr>
          <w:rFonts w:ascii="Times New Roman" w:hAnsi="Times New Roman" w:cs="Times New Roman"/>
          <w:sz w:val="24"/>
          <w:szCs w:val="24"/>
        </w:rPr>
        <w:t xml:space="preserve">на транспортное средство с водителем </w:t>
      </w:r>
      <w:r w:rsidR="00E15A65">
        <w:rPr>
          <w:rFonts w:ascii="Times New Roman" w:hAnsi="Times New Roman" w:cs="Times New Roman"/>
          <w:sz w:val="24"/>
          <w:szCs w:val="24"/>
        </w:rPr>
        <w:t>Волосатовым А.В.</w:t>
      </w:r>
      <w:r w:rsidR="006E533C">
        <w:rPr>
          <w:rFonts w:ascii="Times New Roman" w:hAnsi="Times New Roman" w:cs="Times New Roman"/>
          <w:sz w:val="24"/>
          <w:szCs w:val="24"/>
        </w:rPr>
        <w:t xml:space="preserve"> </w:t>
      </w:r>
      <w:r w:rsidR="00641BEF">
        <w:rPr>
          <w:rFonts w:ascii="Times New Roman" w:hAnsi="Times New Roman" w:cs="Times New Roman"/>
          <w:sz w:val="24"/>
          <w:szCs w:val="24"/>
        </w:rPr>
        <w:t>в МУК «Прометей»</w:t>
      </w:r>
      <w:r w:rsidR="00E15A65">
        <w:rPr>
          <w:rFonts w:ascii="Times New Roman" w:hAnsi="Times New Roman" w:cs="Times New Roman"/>
          <w:sz w:val="24"/>
          <w:szCs w:val="24"/>
        </w:rPr>
        <w:t xml:space="preserve"> с </w:t>
      </w:r>
      <w:r w:rsidR="00E15A65">
        <w:rPr>
          <w:rFonts w:ascii="Times New Roman" w:hAnsi="Times New Roman" w:cs="Times New Roman"/>
          <w:sz w:val="24"/>
          <w:szCs w:val="24"/>
        </w:rPr>
        <w:lastRenderedPageBreak/>
        <w:t>апреля 2014 года</w:t>
      </w:r>
      <w:r w:rsidR="00641BEF">
        <w:rPr>
          <w:rFonts w:ascii="Times New Roman" w:hAnsi="Times New Roman" w:cs="Times New Roman"/>
          <w:sz w:val="24"/>
          <w:szCs w:val="24"/>
        </w:rPr>
        <w:t xml:space="preserve"> </w:t>
      </w:r>
      <w:r w:rsidR="006E533C">
        <w:rPr>
          <w:rFonts w:ascii="Times New Roman" w:hAnsi="Times New Roman" w:cs="Times New Roman"/>
          <w:sz w:val="24"/>
          <w:szCs w:val="24"/>
        </w:rPr>
        <w:t>был</w:t>
      </w:r>
      <w:r w:rsidR="00555806">
        <w:rPr>
          <w:rFonts w:ascii="Times New Roman" w:hAnsi="Times New Roman" w:cs="Times New Roman"/>
          <w:sz w:val="24"/>
          <w:szCs w:val="24"/>
        </w:rPr>
        <w:t>а</w:t>
      </w:r>
      <w:r w:rsidR="006E533C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555806">
        <w:rPr>
          <w:rFonts w:ascii="Times New Roman" w:hAnsi="Times New Roman" w:cs="Times New Roman"/>
          <w:sz w:val="24"/>
          <w:szCs w:val="24"/>
        </w:rPr>
        <w:t>а</w:t>
      </w:r>
      <w:r w:rsidR="006E533C">
        <w:rPr>
          <w:rFonts w:ascii="Times New Roman" w:hAnsi="Times New Roman" w:cs="Times New Roman"/>
          <w:sz w:val="24"/>
          <w:szCs w:val="24"/>
        </w:rPr>
        <w:t xml:space="preserve"> </w:t>
      </w:r>
      <w:r w:rsidR="00555806">
        <w:rPr>
          <w:rFonts w:ascii="Times New Roman" w:hAnsi="Times New Roman" w:cs="Times New Roman"/>
          <w:sz w:val="24"/>
          <w:szCs w:val="24"/>
        </w:rPr>
        <w:t>оплата</w:t>
      </w:r>
      <w:r w:rsidR="006E533C">
        <w:rPr>
          <w:rFonts w:ascii="Times New Roman" w:hAnsi="Times New Roman" w:cs="Times New Roman"/>
          <w:sz w:val="24"/>
          <w:szCs w:val="24"/>
        </w:rPr>
        <w:t xml:space="preserve"> ГСМ и запчастей </w:t>
      </w:r>
      <w:r w:rsidR="00641BEF">
        <w:rPr>
          <w:rFonts w:ascii="Times New Roman" w:hAnsi="Times New Roman" w:cs="Times New Roman"/>
          <w:sz w:val="24"/>
          <w:szCs w:val="24"/>
        </w:rPr>
        <w:t>на сумму</w:t>
      </w:r>
      <w:r w:rsidR="006E533C">
        <w:rPr>
          <w:rFonts w:ascii="Times New Roman" w:hAnsi="Times New Roman" w:cs="Times New Roman"/>
          <w:sz w:val="24"/>
          <w:szCs w:val="24"/>
        </w:rPr>
        <w:t xml:space="preserve"> 45,7 тыс. рублей</w:t>
      </w:r>
      <w:r w:rsidR="00E15A65">
        <w:rPr>
          <w:rFonts w:ascii="Times New Roman" w:hAnsi="Times New Roman" w:cs="Times New Roman"/>
          <w:sz w:val="24"/>
          <w:szCs w:val="24"/>
        </w:rPr>
        <w:t xml:space="preserve">, </w:t>
      </w:r>
      <w:r w:rsidR="00555806">
        <w:rPr>
          <w:rFonts w:ascii="Times New Roman" w:hAnsi="Times New Roman" w:cs="Times New Roman"/>
          <w:sz w:val="24"/>
          <w:szCs w:val="24"/>
        </w:rPr>
        <w:t>возмещены</w:t>
      </w:r>
      <w:r w:rsidR="00E15A65">
        <w:rPr>
          <w:rFonts w:ascii="Times New Roman" w:hAnsi="Times New Roman" w:cs="Times New Roman"/>
          <w:sz w:val="24"/>
          <w:szCs w:val="24"/>
        </w:rPr>
        <w:t xml:space="preserve"> </w:t>
      </w:r>
      <w:r w:rsidR="00555806">
        <w:rPr>
          <w:rFonts w:ascii="Times New Roman" w:hAnsi="Times New Roman" w:cs="Times New Roman"/>
          <w:sz w:val="24"/>
          <w:szCs w:val="24"/>
        </w:rPr>
        <w:t xml:space="preserve"> расходы по </w:t>
      </w:r>
      <w:r w:rsidR="00E15A65">
        <w:rPr>
          <w:rFonts w:ascii="Times New Roman" w:hAnsi="Times New Roman" w:cs="Times New Roman"/>
          <w:sz w:val="24"/>
          <w:szCs w:val="24"/>
        </w:rPr>
        <w:t>арендной плат</w:t>
      </w:r>
      <w:r w:rsidR="00555806">
        <w:rPr>
          <w:rFonts w:ascii="Times New Roman" w:hAnsi="Times New Roman" w:cs="Times New Roman"/>
          <w:sz w:val="24"/>
          <w:szCs w:val="24"/>
        </w:rPr>
        <w:t>е</w:t>
      </w:r>
      <w:r w:rsidR="00E15A65">
        <w:rPr>
          <w:rFonts w:ascii="Times New Roman" w:hAnsi="Times New Roman" w:cs="Times New Roman"/>
          <w:sz w:val="24"/>
          <w:szCs w:val="24"/>
        </w:rPr>
        <w:t xml:space="preserve"> по договору аренды</w:t>
      </w:r>
      <w:r w:rsidR="00B274DB">
        <w:rPr>
          <w:rFonts w:ascii="Times New Roman" w:hAnsi="Times New Roman" w:cs="Times New Roman"/>
          <w:sz w:val="24"/>
          <w:szCs w:val="24"/>
        </w:rPr>
        <w:t xml:space="preserve"> в сумме 15,53 тыс. рублей</w:t>
      </w:r>
      <w:r w:rsidR="006E533C">
        <w:rPr>
          <w:rFonts w:ascii="Times New Roman" w:hAnsi="Times New Roman" w:cs="Times New Roman"/>
          <w:sz w:val="24"/>
          <w:szCs w:val="24"/>
        </w:rPr>
        <w:t xml:space="preserve">, </w:t>
      </w:r>
      <w:r w:rsidR="00641BEF">
        <w:rPr>
          <w:rFonts w:ascii="Times New Roman" w:hAnsi="Times New Roman" w:cs="Times New Roman"/>
          <w:sz w:val="24"/>
          <w:szCs w:val="24"/>
        </w:rPr>
        <w:t>несмотря на то, что  согласно представленному штатному расписанию водитель числится в  МКУ «ТехСервис Прометей»</w:t>
      </w:r>
      <w:r w:rsidR="00EC50D5">
        <w:rPr>
          <w:rFonts w:ascii="Times New Roman" w:hAnsi="Times New Roman" w:cs="Times New Roman"/>
          <w:sz w:val="24"/>
          <w:szCs w:val="24"/>
        </w:rPr>
        <w:t>, что является нарушением ст. 34 БК РФ.</w:t>
      </w:r>
    </w:p>
    <w:p w:rsidR="006369C1" w:rsidRDefault="00EC50D5" w:rsidP="002A3CF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1BEF">
        <w:rPr>
          <w:rFonts w:ascii="Times New Roman" w:hAnsi="Times New Roman" w:cs="Times New Roman"/>
          <w:sz w:val="24"/>
          <w:szCs w:val="24"/>
        </w:rPr>
        <w:t xml:space="preserve"> В связи с чем, КСП района рекомендует перезаключить договор аренды с водителем и производить  расходы на приобретение ГСМ и зап.части согласно утвержденных бюджетных назначений МКУ «ТехСервис Прометей».</w:t>
      </w:r>
    </w:p>
    <w:p w:rsidR="00077CD8" w:rsidRPr="00D42BD6" w:rsidRDefault="00077CD8" w:rsidP="00D4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D6">
        <w:rPr>
          <w:rFonts w:ascii="Times New Roman" w:hAnsi="Times New Roman" w:cs="Times New Roman"/>
          <w:sz w:val="24"/>
          <w:szCs w:val="24"/>
        </w:rPr>
        <w:t xml:space="preserve">           В ходе проверки </w:t>
      </w:r>
      <w:r w:rsidR="0055580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42BD6">
        <w:rPr>
          <w:rFonts w:ascii="Times New Roman" w:hAnsi="Times New Roman" w:cs="Times New Roman"/>
          <w:sz w:val="24"/>
          <w:szCs w:val="24"/>
        </w:rPr>
        <w:t xml:space="preserve">установлено, что в 2014 году МУК «Прометей» были </w:t>
      </w:r>
      <w:r w:rsidR="00555806">
        <w:rPr>
          <w:rFonts w:ascii="Times New Roman" w:hAnsi="Times New Roman" w:cs="Times New Roman"/>
          <w:sz w:val="24"/>
          <w:szCs w:val="24"/>
        </w:rPr>
        <w:t xml:space="preserve">оплачены </w:t>
      </w:r>
      <w:r w:rsidRPr="00D42BD6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55806">
        <w:rPr>
          <w:rFonts w:ascii="Times New Roman" w:hAnsi="Times New Roman" w:cs="Times New Roman"/>
          <w:sz w:val="24"/>
          <w:szCs w:val="24"/>
        </w:rPr>
        <w:t>по</w:t>
      </w:r>
      <w:r w:rsidRPr="00D42BD6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555806">
        <w:rPr>
          <w:rFonts w:ascii="Times New Roman" w:hAnsi="Times New Roman" w:cs="Times New Roman"/>
          <w:sz w:val="24"/>
          <w:szCs w:val="24"/>
        </w:rPr>
        <w:t>му</w:t>
      </w:r>
      <w:r w:rsidRPr="00D42BD6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555806">
        <w:rPr>
          <w:rFonts w:ascii="Times New Roman" w:hAnsi="Times New Roman" w:cs="Times New Roman"/>
          <w:sz w:val="24"/>
          <w:szCs w:val="24"/>
        </w:rPr>
        <w:t>ю</w:t>
      </w:r>
      <w:r w:rsidRPr="00D42BD6">
        <w:rPr>
          <w:rFonts w:ascii="Times New Roman" w:hAnsi="Times New Roman" w:cs="Times New Roman"/>
          <w:sz w:val="24"/>
          <w:szCs w:val="24"/>
        </w:rPr>
        <w:t xml:space="preserve"> технических средств охраны на сумму </w:t>
      </w:r>
      <w:r w:rsidR="00D42BD6" w:rsidRPr="00D42BD6">
        <w:rPr>
          <w:rFonts w:ascii="Times New Roman" w:hAnsi="Times New Roman" w:cs="Times New Roman"/>
          <w:sz w:val="24"/>
          <w:szCs w:val="24"/>
        </w:rPr>
        <w:t>38,6</w:t>
      </w:r>
      <w:r w:rsidRPr="00D42BD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55806">
        <w:rPr>
          <w:rFonts w:ascii="Times New Roman" w:hAnsi="Times New Roman" w:cs="Times New Roman"/>
          <w:sz w:val="24"/>
          <w:szCs w:val="24"/>
        </w:rPr>
        <w:t>лей по договору, заключенному</w:t>
      </w:r>
      <w:r w:rsidRPr="00D42BD6">
        <w:rPr>
          <w:rFonts w:ascii="Times New Roman" w:hAnsi="Times New Roman" w:cs="Times New Roman"/>
          <w:sz w:val="24"/>
          <w:szCs w:val="24"/>
        </w:rPr>
        <w:t xml:space="preserve"> с ФГУП «Охрана»</w:t>
      </w:r>
      <w:r w:rsidR="00555806">
        <w:rPr>
          <w:rFonts w:ascii="Times New Roman" w:hAnsi="Times New Roman" w:cs="Times New Roman"/>
          <w:sz w:val="24"/>
          <w:szCs w:val="24"/>
        </w:rPr>
        <w:t>, произведен</w:t>
      </w:r>
      <w:r w:rsidRPr="00D42BD6">
        <w:rPr>
          <w:rFonts w:ascii="Times New Roman" w:hAnsi="Times New Roman" w:cs="Times New Roman"/>
          <w:sz w:val="24"/>
          <w:szCs w:val="24"/>
        </w:rPr>
        <w:t xml:space="preserve"> </w:t>
      </w:r>
      <w:r w:rsidR="00D42BD6" w:rsidRPr="00D42BD6">
        <w:rPr>
          <w:rFonts w:ascii="Times New Roman" w:hAnsi="Times New Roman" w:cs="Times New Roman"/>
          <w:sz w:val="24"/>
          <w:szCs w:val="24"/>
        </w:rPr>
        <w:t xml:space="preserve">текущий ремонт кровли, замена </w:t>
      </w:r>
      <w:r w:rsidRPr="00D42BD6">
        <w:rPr>
          <w:rFonts w:ascii="Times New Roman" w:hAnsi="Times New Roman" w:cs="Times New Roman"/>
          <w:sz w:val="24"/>
          <w:szCs w:val="24"/>
        </w:rPr>
        <w:t xml:space="preserve"> </w:t>
      </w:r>
      <w:r w:rsidR="00D42BD6" w:rsidRPr="00D42BD6">
        <w:rPr>
          <w:rFonts w:ascii="Times New Roman" w:hAnsi="Times New Roman" w:cs="Times New Roman"/>
          <w:sz w:val="24"/>
          <w:szCs w:val="24"/>
        </w:rPr>
        <w:t xml:space="preserve">дверных блоков </w:t>
      </w:r>
      <w:r w:rsidR="00555806">
        <w:rPr>
          <w:rFonts w:ascii="Times New Roman" w:hAnsi="Times New Roman" w:cs="Times New Roman"/>
          <w:sz w:val="24"/>
          <w:szCs w:val="24"/>
        </w:rPr>
        <w:t xml:space="preserve">здания культуры </w:t>
      </w:r>
      <w:r w:rsidR="00D42BD6" w:rsidRPr="00D42BD6">
        <w:rPr>
          <w:rFonts w:ascii="Times New Roman" w:hAnsi="Times New Roman" w:cs="Times New Roman"/>
          <w:sz w:val="24"/>
          <w:szCs w:val="24"/>
        </w:rPr>
        <w:t>на</w:t>
      </w:r>
      <w:r w:rsidRPr="00D42BD6">
        <w:rPr>
          <w:rFonts w:ascii="Times New Roman" w:hAnsi="Times New Roman" w:cs="Times New Roman"/>
          <w:sz w:val="24"/>
          <w:szCs w:val="24"/>
        </w:rPr>
        <w:t xml:space="preserve"> общую сумму </w:t>
      </w:r>
      <w:r w:rsidR="00D42BD6" w:rsidRPr="00D42BD6">
        <w:rPr>
          <w:rFonts w:ascii="Times New Roman" w:hAnsi="Times New Roman" w:cs="Times New Roman"/>
          <w:sz w:val="24"/>
          <w:szCs w:val="24"/>
        </w:rPr>
        <w:t>529,8</w:t>
      </w:r>
      <w:r w:rsidRPr="00D42BD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0D5">
        <w:rPr>
          <w:rFonts w:ascii="Times New Roman" w:hAnsi="Times New Roman" w:cs="Times New Roman"/>
          <w:sz w:val="24"/>
          <w:szCs w:val="24"/>
        </w:rPr>
        <w:t>лей.</w:t>
      </w:r>
    </w:p>
    <w:p w:rsidR="00077CD8" w:rsidRPr="00D42BD6" w:rsidRDefault="00077CD8" w:rsidP="00D4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2B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42BD6">
        <w:rPr>
          <w:rFonts w:ascii="Times New Roman" w:hAnsi="Times New Roman" w:cs="Times New Roman"/>
          <w:sz w:val="24"/>
          <w:szCs w:val="24"/>
        </w:rPr>
        <w:t xml:space="preserve">Тем не менее, проверка наличия основных средств на балансе учреждения показала: </w:t>
      </w:r>
      <w:r w:rsidR="00D42BD6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D42BD6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D42BD6">
        <w:rPr>
          <w:rFonts w:ascii="Times New Roman" w:hAnsi="Times New Roman" w:cs="Times New Roman"/>
          <w:sz w:val="24"/>
          <w:szCs w:val="24"/>
        </w:rPr>
        <w:t>по адресу:</w:t>
      </w:r>
      <w:r w:rsidR="00D42BD6" w:rsidRPr="00C7797B">
        <w:rPr>
          <w:sz w:val="24"/>
          <w:szCs w:val="24"/>
        </w:rPr>
        <w:t xml:space="preserve"> </w:t>
      </w:r>
      <w:r w:rsidR="00D42BD6" w:rsidRPr="00D42BD6">
        <w:rPr>
          <w:rFonts w:ascii="Times New Roman" w:hAnsi="Times New Roman" w:cs="Times New Roman"/>
          <w:sz w:val="24"/>
          <w:szCs w:val="24"/>
        </w:rPr>
        <w:t>р.п. Новая Игирма, мкр-н Химки, д.33</w:t>
      </w:r>
      <w:r w:rsidR="00D42BD6">
        <w:rPr>
          <w:rFonts w:ascii="Times New Roman" w:hAnsi="Times New Roman" w:cs="Times New Roman"/>
          <w:sz w:val="24"/>
          <w:szCs w:val="24"/>
        </w:rPr>
        <w:t>,</w:t>
      </w:r>
      <w:r w:rsidRPr="00D42BD6">
        <w:rPr>
          <w:rFonts w:ascii="Times New Roman" w:hAnsi="Times New Roman" w:cs="Times New Roman"/>
          <w:sz w:val="24"/>
          <w:szCs w:val="24"/>
        </w:rPr>
        <w:t xml:space="preserve"> занимаемое </w:t>
      </w:r>
      <w:r w:rsidR="00D42BD6" w:rsidRPr="00D42BD6">
        <w:rPr>
          <w:rFonts w:ascii="Times New Roman" w:hAnsi="Times New Roman" w:cs="Times New Roman"/>
          <w:sz w:val="24"/>
          <w:szCs w:val="24"/>
        </w:rPr>
        <w:t>МУК «Прометей»</w:t>
      </w:r>
      <w:r w:rsidRPr="00D42BD6">
        <w:rPr>
          <w:rFonts w:ascii="Times New Roman" w:hAnsi="Times New Roman" w:cs="Times New Roman"/>
          <w:sz w:val="24"/>
          <w:szCs w:val="24"/>
        </w:rPr>
        <w:t>,  на балансе учреждения не числится</w:t>
      </w:r>
      <w:r w:rsidR="00DE7238">
        <w:rPr>
          <w:rFonts w:ascii="Times New Roman" w:hAnsi="Times New Roman" w:cs="Times New Roman"/>
          <w:sz w:val="24"/>
          <w:szCs w:val="24"/>
        </w:rPr>
        <w:t xml:space="preserve"> (ст. 34 БК РФ)</w:t>
      </w:r>
      <w:r w:rsidRPr="00D42BD6">
        <w:rPr>
          <w:rFonts w:ascii="Times New Roman" w:hAnsi="Times New Roman" w:cs="Times New Roman"/>
          <w:sz w:val="24"/>
          <w:szCs w:val="24"/>
        </w:rPr>
        <w:t xml:space="preserve">. В связи с этим, КСП района предлагает </w:t>
      </w:r>
      <w:r w:rsidR="00D42BD6" w:rsidRPr="00D42BD6">
        <w:rPr>
          <w:rFonts w:ascii="Times New Roman" w:hAnsi="Times New Roman" w:cs="Times New Roman"/>
          <w:sz w:val="24"/>
          <w:szCs w:val="24"/>
        </w:rPr>
        <w:t xml:space="preserve">МУК «Прометей» </w:t>
      </w:r>
      <w:r w:rsidRPr="00D42BD6">
        <w:rPr>
          <w:rFonts w:ascii="Times New Roman" w:hAnsi="Times New Roman" w:cs="Times New Roman"/>
          <w:sz w:val="24"/>
          <w:szCs w:val="24"/>
        </w:rPr>
        <w:t xml:space="preserve"> привести в соответствие бухгалтерский учет: </w:t>
      </w:r>
      <w:r w:rsidR="00D42BD6">
        <w:rPr>
          <w:rFonts w:ascii="Times New Roman" w:hAnsi="Times New Roman" w:cs="Times New Roman"/>
          <w:sz w:val="24"/>
          <w:szCs w:val="24"/>
        </w:rPr>
        <w:t>принять к бухгалтерскому учету</w:t>
      </w:r>
      <w:r w:rsidRPr="00D42BD6">
        <w:rPr>
          <w:rFonts w:ascii="Times New Roman" w:hAnsi="Times New Roman" w:cs="Times New Roman"/>
          <w:sz w:val="24"/>
          <w:szCs w:val="24"/>
        </w:rPr>
        <w:t xml:space="preserve"> </w:t>
      </w:r>
      <w:r w:rsidR="00D42BD6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Pr="00D42BD6">
        <w:rPr>
          <w:rFonts w:ascii="Times New Roman" w:hAnsi="Times New Roman" w:cs="Times New Roman"/>
          <w:sz w:val="24"/>
          <w:szCs w:val="24"/>
        </w:rPr>
        <w:t>на основании правоустанавливающих документов в соответствии с требованиями</w:t>
      </w:r>
      <w:r w:rsidR="00D42BD6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Бюджетные назначения по разделу «</w:t>
      </w:r>
      <w:r w:rsidRPr="0046206B">
        <w:rPr>
          <w:rFonts w:ascii="Times New Roman" w:hAnsi="Times New Roman" w:cs="Times New Roman"/>
          <w:i/>
          <w:sz w:val="24"/>
          <w:szCs w:val="24"/>
        </w:rPr>
        <w:t>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4B04C5">
        <w:rPr>
          <w:rFonts w:ascii="Times New Roman" w:hAnsi="Times New Roman" w:cs="Times New Roman"/>
          <w:sz w:val="24"/>
          <w:szCs w:val="24"/>
        </w:rPr>
        <w:t>282,1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были направлены на  выплату муниципальной пенсии.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B159E5">
        <w:rPr>
          <w:rFonts w:ascii="Times New Roman" w:hAnsi="Times New Roman" w:cs="Times New Roman"/>
          <w:i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5C752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C752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уточненных плановых назначений.</w:t>
      </w:r>
    </w:p>
    <w:p w:rsidR="00D55F0B" w:rsidRDefault="005718B2" w:rsidP="005C752E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50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B2" w:rsidRDefault="005718B2" w:rsidP="005718B2">
      <w:pPr>
        <w:shd w:val="clear" w:color="auto" w:fill="FFFFFF"/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Анализ степени полноты бюджетной отчетности,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5718B2" w:rsidRDefault="005718B2" w:rsidP="005718B2">
      <w:pPr>
        <w:shd w:val="clear" w:color="auto" w:fill="FFFFFF"/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598F" w:rsidRDefault="000D4026" w:rsidP="000459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организации ведения бюджетного учета установлено.</w:t>
      </w:r>
    </w:p>
    <w:p w:rsidR="003A3B29" w:rsidRDefault="003A3B29" w:rsidP="003A3B29">
      <w:pPr>
        <w:spacing w:after="0" w:line="138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15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598F"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Учетная политика </w:t>
      </w:r>
      <w:r w:rsidR="00011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2014 год </w:t>
      </w:r>
      <w:r w:rsidR="0063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представлена </w:t>
      </w:r>
      <w:r w:rsidR="0004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</w:t>
      </w:r>
      <w:r w:rsidR="0063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Новоигирминского ГП и </w:t>
      </w:r>
      <w:r w:rsidR="0004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187C">
        <w:rPr>
          <w:rFonts w:ascii="Times New Roman" w:hAnsi="Times New Roman" w:cs="Times New Roman"/>
          <w:sz w:val="24"/>
          <w:szCs w:val="24"/>
        </w:rPr>
        <w:t>МУК «Городской дом культуры «Прометей»</w:t>
      </w:r>
      <w:r w:rsidR="00011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2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КСП района отмечает, что </w:t>
      </w:r>
      <w:r w:rsidR="00B274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598F" w:rsidRPr="00F4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</w:t>
      </w:r>
      <w:r w:rsid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98F" w:rsidRPr="00F4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598F" w:rsidRPr="00F4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политики </w:t>
      </w:r>
      <w:r w:rsidR="00B2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="00B274DB">
        <w:rPr>
          <w:rFonts w:ascii="Times New Roman" w:hAnsi="Times New Roman" w:cs="Times New Roman"/>
          <w:sz w:val="24"/>
          <w:szCs w:val="24"/>
        </w:rPr>
        <w:t>МУК «Городской дом культуры «Прометей»</w:t>
      </w:r>
      <w:r w:rsidR="00B2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598F" w:rsidRPr="00F4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ссылки на </w:t>
      </w:r>
      <w:r w:rsid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3A3B29" w:rsidRDefault="0004598F" w:rsidP="003A3B29">
      <w:pPr>
        <w:spacing w:after="0" w:line="1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27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26.11.1996 № 129-ФЗ «О бухгалтерском учете»</w:t>
      </w:r>
      <w:r w:rsidR="003A3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3B29" w:rsidRPr="003A3B29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</w:t>
      </w:r>
      <w:r w:rsidR="003A3B29" w:rsidRPr="0001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 01.01.2013г. вступил в силу Федеральный закон «О бухгалтерском учете» от 06.12.2011г. №</w:t>
      </w:r>
      <w:r w:rsidR="0055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B29" w:rsidRPr="0001187C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</w:t>
      </w:r>
      <w:r w:rsidR="003A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3B29" w:rsidRDefault="003A3B29" w:rsidP="002642AF">
      <w:pPr>
        <w:spacing w:after="0" w:line="1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о порядке применения бюджетной классификации РФ, утвержденные приказом Минфина России от 21.12.2011 № 180н.</w:t>
      </w:r>
      <w:r w:rsidR="00B2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утратил силу с 01.01.2013г. в связи с изданием Приказа Минфина России</w:t>
      </w:r>
      <w:r w:rsidR="0026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20.02.2014 № 10н. Приказом Минфина России от 01.07.2013 № 65н утверждены Указания о порядке применения бюджетной классификации Российской Федерации.</w:t>
      </w:r>
    </w:p>
    <w:p w:rsidR="002131CD" w:rsidRPr="0001187C" w:rsidRDefault="002131CD" w:rsidP="002642AF">
      <w:pPr>
        <w:spacing w:after="0" w:line="138" w:lineRule="atLeast"/>
        <w:jc w:val="both"/>
        <w:rPr>
          <w:rFonts w:ascii="Tahoma" w:eastAsia="Times New Roman" w:hAnsi="Tahoma" w:cs="Tahoma"/>
          <w:color w:val="304855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718B2" w:rsidRPr="000C4E62" w:rsidRDefault="0017405D" w:rsidP="005718B2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71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олнота предоставления и правильность оформления форм годовой бюджетной отчетности проверена в соответствии с требованиями ст. 264.1 БК РФ,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26.10.2010 № 191н (в ред. от 19.12.2014) (далее – Инструкция №191н).</w:t>
      </w:r>
    </w:p>
    <w:p w:rsidR="00AF5AAD" w:rsidRDefault="0017405D" w:rsidP="00AF5AAD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718B2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сроки представлен</w:t>
      </w:r>
      <w:r w:rsidR="00571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годовой бюджетной отчетности</w:t>
      </w:r>
      <w:r w:rsidR="005718B2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утверждены </w:t>
      </w:r>
      <w:r w:rsidR="00571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Финансового управлением администрации Нижнеилимского муниципального района от 26.12.2013 № 04-од «О Порядке и сроках представления сводной бюджетной отчетности муниципальными образованиями Нижнеилимского района за 2013-2014 гг.».</w:t>
      </w:r>
    </w:p>
    <w:p w:rsidR="002A745E" w:rsidRDefault="0017405D" w:rsidP="002A745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2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745E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Годовая бюджетная отчетность </w:t>
      </w:r>
      <w:r w:rsidR="002A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представлена </w:t>
      </w:r>
      <w:r w:rsidR="002A745E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A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Финансовое управление администрации Нижнеилимского муниципального района </w:t>
      </w:r>
      <w:r w:rsidR="002A745E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установленный срок</w:t>
      </w:r>
      <w:r w:rsidR="002A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2378" w:rsidRDefault="00942378" w:rsidP="00984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174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 Инструкции № 191н, Методических указаний по инвентаризации имущества и финансовых обязательств, утвержденных Приказом Минфина РФ от 13.06.1995 № 49, Администрацией Новоигирминского ГП проведена инвентаризация </w:t>
      </w:r>
      <w:r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 и расчетов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года. </w:t>
      </w:r>
    </w:p>
    <w:p w:rsidR="00984EE9" w:rsidRDefault="0017405D" w:rsidP="00984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2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показала, что показатели кассового исполнения </w:t>
      </w:r>
      <w:r w:rsidR="0098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</w:t>
      </w:r>
      <w:r w:rsidR="0098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 и доходам 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бюджета </w:t>
      </w:r>
      <w:r w:rsidR="0098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поселения, источников финансирования дефицита бюджета, отраженные в форме 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0503</w:t>
      </w:r>
      <w:r w:rsidR="0062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«Отчет об исполнении бюджета</w:t>
      </w:r>
      <w:r w:rsidR="0098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соответствуют показателям ведомости кассовых поступ</w:t>
      </w:r>
      <w:r w:rsidR="0098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620F8B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и выбытий, представ</w:t>
      </w:r>
      <w:r w:rsidR="0098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ленной УФК по Иркутской области в ф. </w:t>
      </w:r>
      <w:r w:rsidR="00984EE9" w:rsidRPr="00984E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984EE9" w:rsidRPr="0098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0531793</w:t>
      </w:r>
      <w:r w:rsidR="0098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F8B" w:rsidRDefault="00620F8B" w:rsidP="00620F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Дебиторская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задолженность бюджета 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Новоигирминского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согласно представленной ф. 0503169,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отношению к 01.01.2014г. увеличилась 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2 896,17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составила на 01.01.2015г. – 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1 473 140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(на 01.01.2014г. – 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1 470 243,83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рублей). 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Просроченная задолженность по состоянию на 01.01.2014г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составила 1 469 908,5 рублей, на 01.01.2015г. – 1 474 000 рублей.</w:t>
      </w:r>
    </w:p>
    <w:p w:rsidR="003603FA" w:rsidRDefault="00620F8B" w:rsidP="00620F8B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6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Кредиторская </w:t>
      </w:r>
      <w:r w:rsidRPr="00F12606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3603FA">
        <w:rPr>
          <w:rFonts w:ascii="Times New Roman" w:hAnsi="Times New Roman" w:cs="Times New Roman"/>
          <w:sz w:val="24"/>
          <w:szCs w:val="24"/>
        </w:rPr>
        <w:t xml:space="preserve">по состоянию на 01.01.2014г. </w:t>
      </w:r>
      <w:r w:rsidRPr="00F1260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603FA">
        <w:rPr>
          <w:rFonts w:ascii="Times New Roman" w:hAnsi="Times New Roman" w:cs="Times New Roman"/>
          <w:sz w:val="24"/>
          <w:szCs w:val="24"/>
        </w:rPr>
        <w:t>3 302 565,66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60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3603FA">
        <w:rPr>
          <w:rFonts w:ascii="Times New Roman" w:hAnsi="Times New Roman" w:cs="Times New Roman"/>
          <w:sz w:val="24"/>
          <w:szCs w:val="24"/>
        </w:rPr>
        <w:t>, просроченная – 630 946,09 рублей, по состоянию на 01.01.2015г.</w:t>
      </w:r>
      <w:r w:rsidR="00942378">
        <w:rPr>
          <w:rFonts w:ascii="Times New Roman" w:hAnsi="Times New Roman" w:cs="Times New Roman"/>
          <w:sz w:val="24"/>
          <w:szCs w:val="24"/>
        </w:rPr>
        <w:t xml:space="preserve"> -</w:t>
      </w:r>
      <w:r w:rsidR="003603FA">
        <w:rPr>
          <w:rFonts w:ascii="Times New Roman" w:hAnsi="Times New Roman" w:cs="Times New Roman"/>
          <w:sz w:val="24"/>
          <w:szCs w:val="24"/>
        </w:rPr>
        <w:t xml:space="preserve"> 3 465 920,14 рублей, просроченная – 474 905,06 рублей.</w:t>
      </w:r>
    </w:p>
    <w:p w:rsidR="003603FA" w:rsidRDefault="003603FA" w:rsidP="00620F8B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F8B" w:rsidRPr="00F12606">
        <w:rPr>
          <w:rFonts w:ascii="Times New Roman" w:hAnsi="Times New Roman" w:cs="Times New Roman"/>
          <w:sz w:val="24"/>
          <w:szCs w:val="24"/>
        </w:rPr>
        <w:t>Данные дебиторской и кредиторской задолженности, отраженные в ф.0503169 соответствуют показателям, указанным в Балансе (ф. 0503</w:t>
      </w:r>
      <w:r w:rsidR="00620F8B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0F8B" w:rsidRDefault="00620F8B" w:rsidP="00620F8B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8B2" w:rsidRDefault="005718B2" w:rsidP="005718B2">
      <w:pPr>
        <w:spacing w:after="0" w:line="240" w:lineRule="auto"/>
        <w:ind w:right="-141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верка правильности составления </w:t>
      </w:r>
      <w:r w:rsidRPr="007A7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смет</w:t>
      </w:r>
    </w:p>
    <w:p w:rsidR="005718B2" w:rsidRDefault="005718B2" w:rsidP="005718B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18B2" w:rsidRPr="00922831" w:rsidRDefault="005718B2" w:rsidP="005718B2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221 БК РФ бюджетная смета казенного учреждения составляется и ведется в порядке, определенном главным распорядителем бюджетных средств. Соответствующий порядок разработан и утвержден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E57FCA">
        <w:rPr>
          <w:rFonts w:ascii="Times New Roman" w:eastAsia="Calibri" w:hAnsi="Times New Roman" w:cs="Times New Roman"/>
          <w:sz w:val="24"/>
          <w:szCs w:val="24"/>
        </w:rPr>
        <w:t>Новоигирминского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ГП от </w:t>
      </w:r>
      <w:r w:rsidR="00E57FCA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.12.20</w:t>
      </w:r>
      <w:r w:rsidR="00E57FC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57FCA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Pr="00922831">
        <w:rPr>
          <w:rFonts w:ascii="Times New Roman" w:eastAsia="Calibri" w:hAnsi="Times New Roman" w:cs="Times New Roman"/>
          <w:sz w:val="24"/>
          <w:szCs w:val="24"/>
        </w:rPr>
        <w:t>«Об утверждении Порядка составления, утверждения и ведения бюджетн</w:t>
      </w:r>
      <w:r w:rsidR="00E57FCA">
        <w:rPr>
          <w:rFonts w:ascii="Times New Roman" w:eastAsia="Calibri" w:hAnsi="Times New Roman" w:cs="Times New Roman"/>
          <w:sz w:val="24"/>
          <w:szCs w:val="24"/>
        </w:rPr>
        <w:t>ой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 смет</w:t>
      </w:r>
      <w:r w:rsidR="00E57FCA">
        <w:rPr>
          <w:rFonts w:ascii="Times New Roman" w:eastAsia="Calibri" w:hAnsi="Times New Roman" w:cs="Times New Roman"/>
          <w:sz w:val="24"/>
          <w:szCs w:val="24"/>
        </w:rPr>
        <w:t>ы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FCA">
        <w:rPr>
          <w:rFonts w:ascii="Times New Roman" w:eastAsia="Calibri" w:hAnsi="Times New Roman" w:cs="Times New Roman"/>
          <w:sz w:val="24"/>
          <w:szCs w:val="24"/>
        </w:rPr>
        <w:t>муниципального образования»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5718B2" w:rsidRPr="008653D9" w:rsidRDefault="005718B2" w:rsidP="00EC50D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E57F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7FCA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="008653D9">
        <w:rPr>
          <w:rFonts w:ascii="Times New Roman" w:eastAsia="Calibri" w:hAnsi="Times New Roman" w:cs="Times New Roman"/>
          <w:sz w:val="24"/>
          <w:szCs w:val="24"/>
        </w:rPr>
        <w:t xml:space="preserve">При выборочной проверке установлено, что </w:t>
      </w:r>
      <w:r w:rsidR="008653D9" w:rsidRPr="008653D9">
        <w:rPr>
          <w:rFonts w:ascii="Times New Roman" w:hAnsi="Times New Roman" w:cs="Times New Roman"/>
          <w:sz w:val="24"/>
          <w:szCs w:val="24"/>
        </w:rPr>
        <w:t>у</w:t>
      </w:r>
      <w:r w:rsidRPr="008653D9">
        <w:rPr>
          <w:rFonts w:ascii="Times New Roman" w:hAnsi="Times New Roman" w:cs="Times New Roman"/>
          <w:sz w:val="24"/>
          <w:szCs w:val="24"/>
        </w:rPr>
        <w:t>твержденные показатели бюджетной сметы на 2014 год</w:t>
      </w:r>
      <w:r w:rsidR="008653D9">
        <w:rPr>
          <w:rFonts w:ascii="Times New Roman" w:hAnsi="Times New Roman" w:cs="Times New Roman"/>
          <w:sz w:val="24"/>
          <w:szCs w:val="24"/>
        </w:rPr>
        <w:t>, представленные без даты утверждения</w:t>
      </w:r>
      <w:r w:rsidRPr="008653D9">
        <w:rPr>
          <w:rFonts w:ascii="Times New Roman" w:hAnsi="Times New Roman" w:cs="Times New Roman"/>
          <w:sz w:val="24"/>
          <w:szCs w:val="24"/>
        </w:rPr>
        <w:t>, соответствуют утвержденным лимитам бюджетных обязательств</w:t>
      </w:r>
      <w:r w:rsidR="008653D9">
        <w:rPr>
          <w:rFonts w:ascii="Times New Roman" w:hAnsi="Times New Roman" w:cs="Times New Roman"/>
          <w:sz w:val="24"/>
          <w:szCs w:val="24"/>
        </w:rPr>
        <w:t xml:space="preserve"> по состоянию на 31.12.2014г</w:t>
      </w:r>
      <w:r w:rsidRPr="0086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B2" w:rsidRDefault="005718B2" w:rsidP="005718B2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718B2" w:rsidRPr="000A4E60" w:rsidRDefault="005718B2" w:rsidP="005718B2">
      <w:pPr>
        <w:shd w:val="clear" w:color="auto" w:fill="FFFFFF"/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Организация финансового контроля в муниципальном образовании</w:t>
      </w:r>
    </w:p>
    <w:p w:rsidR="005718B2" w:rsidRDefault="005718B2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6E93" w:rsidRDefault="005718B2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Сферой внутреннего муниципального финансового контроля в течение 2014 года, по информации</w:t>
      </w:r>
      <w:r w:rsidR="00EC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C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представленной в Пояснительной записке ГРБС – Администрации Новоигирминского поселения, со стороны главного бухгалтера, отдела бухгалтерского учета и отчетности, совместно с Главой Новоигирминского ГП, являются:</w:t>
      </w:r>
    </w:p>
    <w:p w:rsidR="00DC6E93" w:rsidRDefault="00DC6E93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правильность начисления заработной платы;</w:t>
      </w:r>
    </w:p>
    <w:p w:rsidR="00DC6E93" w:rsidRDefault="00DC6E93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соблюдение правил инвентаризации денежных средств, ТМЦ, основных средств, расчетов и обязательств;</w:t>
      </w:r>
    </w:p>
    <w:p w:rsidR="00DC6E93" w:rsidRDefault="00DC6E93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проверка соблюдения норм учетной политики;</w:t>
      </w:r>
    </w:p>
    <w:p w:rsidR="00DC6E93" w:rsidRDefault="00DC6E93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проверка достоверности отчетности, предоставляемой ФСС, ПФР и учреждениям и т.д.</w:t>
      </w:r>
    </w:p>
    <w:p w:rsidR="005718B2" w:rsidRDefault="00DC6E93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Вместе с тем, в соответствии с требованиями 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ст. 269 БК РФ,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Новоигирминского Г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не проводилась работа по осуществлению финансового контроля, в том числе текущего в части обеспечения правомерного, целевого, эффективного использования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подведомственных ему учреждениях: </w:t>
      </w:r>
      <w:r>
        <w:rPr>
          <w:rFonts w:ascii="Times New Roman" w:hAnsi="Times New Roman" w:cs="Times New Roman"/>
          <w:sz w:val="24"/>
          <w:szCs w:val="24"/>
        </w:rPr>
        <w:t>МУК «Городской дом культуры «Прометей»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МКУ «Техсервис»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B6412A" w:rsidRPr="000A4E60" w:rsidRDefault="00B6412A" w:rsidP="005718B2">
      <w:pPr>
        <w:shd w:val="clear" w:color="auto" w:fill="FFFFFF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8B2" w:rsidRPr="00CC54F4" w:rsidRDefault="005718B2" w:rsidP="005718B2">
      <w:pPr>
        <w:ind w:right="-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Проект решения Думы </w:t>
      </w:r>
      <w:r w:rsidR="008653D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городского поселения «Отчет об исполнении бюджета </w:t>
      </w:r>
      <w:r w:rsidR="00A90AD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городского поселения МО за 2014 год» отражает достоверно кассовое исполнение доходов, расходов за период с 01.01.2014г. по 31.12.2014г.</w:t>
      </w:r>
    </w:p>
    <w:p w:rsidR="005718B2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изменяя мнения о достоверности отчетности Контрольно-счетная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</w:t>
      </w:r>
      <w:r w:rsidR="00A90AD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городского поселения, надлежащему ведению бюджетного учета и качественному составлению бюджетной отчетности.</w:t>
      </w:r>
    </w:p>
    <w:p w:rsidR="005718B2" w:rsidRPr="00240374" w:rsidRDefault="005718B2" w:rsidP="005718B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Необходимо обратить внимание, что замечания к составлению бюджетной отчетности, выявленные отдельными нарушениями требований Инструкции № 191н,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отчетности, а также годового отчета об исполнении бюджета муниципального образования.</w:t>
      </w:r>
    </w:p>
    <w:p w:rsidR="005718B2" w:rsidRPr="00BB58DA" w:rsidRDefault="005718B2" w:rsidP="005718B2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pacing w:val="-4"/>
          <w:sz w:val="28"/>
          <w:szCs w:val="28"/>
        </w:rPr>
        <w:lastRenderedPageBreak/>
        <w:tab/>
      </w:r>
      <w:r w:rsidRPr="00BB58DA">
        <w:rPr>
          <w:rFonts w:ascii="Times New Roman" w:hAnsi="Times New Roman" w:cs="Times New Roman"/>
          <w:sz w:val="24"/>
          <w:szCs w:val="24"/>
        </w:rPr>
        <w:t xml:space="preserve">На основании изложенного, Контрольно-счётная палата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</w:t>
      </w:r>
      <w:r w:rsidRPr="00BB58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58DA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F06D32" w:rsidRDefault="005718B2" w:rsidP="005718B2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D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Думе </w:t>
      </w:r>
      <w:r w:rsidR="00A90AD8">
        <w:rPr>
          <w:rFonts w:ascii="Times New Roman" w:hAnsi="Times New Roman" w:cs="Times New Roman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06D32">
        <w:rPr>
          <w:rFonts w:ascii="Times New Roman" w:hAnsi="Times New Roman" w:cs="Times New Roman"/>
          <w:sz w:val="24"/>
          <w:szCs w:val="24"/>
        </w:rPr>
        <w:t>:</w:t>
      </w:r>
    </w:p>
    <w:p w:rsidR="005718B2" w:rsidRDefault="00F06D32" w:rsidP="005718B2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AD8">
        <w:rPr>
          <w:rFonts w:ascii="Times New Roman" w:hAnsi="Times New Roman" w:cs="Times New Roman"/>
          <w:sz w:val="24"/>
          <w:szCs w:val="24"/>
        </w:rPr>
        <w:t>рассмотреть</w:t>
      </w:r>
      <w:r w:rsidR="005718B2" w:rsidRPr="00BB58DA">
        <w:rPr>
          <w:rFonts w:ascii="Times New Roman" w:hAnsi="Times New Roman" w:cs="Times New Roman"/>
          <w:sz w:val="24"/>
          <w:szCs w:val="24"/>
        </w:rPr>
        <w:t xml:space="preserve"> решение об утверждении отчёта об исполнении бюджета </w:t>
      </w:r>
      <w:r w:rsidR="00A90AD8">
        <w:rPr>
          <w:rFonts w:ascii="Times New Roman" w:hAnsi="Times New Roman" w:cs="Times New Roman"/>
          <w:sz w:val="24"/>
          <w:szCs w:val="24"/>
        </w:rPr>
        <w:t>Новоигирминского</w:t>
      </w:r>
      <w:r w:rsidR="005718B2">
        <w:rPr>
          <w:rFonts w:ascii="Times New Roman" w:hAnsi="Times New Roman" w:cs="Times New Roman"/>
          <w:sz w:val="24"/>
          <w:szCs w:val="24"/>
        </w:rPr>
        <w:t xml:space="preserve"> ГП</w:t>
      </w:r>
      <w:r w:rsidR="005718B2" w:rsidRPr="00BB58DA">
        <w:rPr>
          <w:rFonts w:ascii="Times New Roman" w:hAnsi="Times New Roman" w:cs="Times New Roman"/>
          <w:sz w:val="24"/>
          <w:szCs w:val="24"/>
        </w:rPr>
        <w:t xml:space="preserve"> за 201</w:t>
      </w:r>
      <w:r w:rsidR="005718B2">
        <w:rPr>
          <w:rFonts w:ascii="Times New Roman" w:hAnsi="Times New Roman" w:cs="Times New Roman"/>
          <w:sz w:val="24"/>
          <w:szCs w:val="24"/>
        </w:rPr>
        <w:t>4</w:t>
      </w:r>
      <w:r w:rsidR="005718B2" w:rsidRPr="00BB58D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718B2" w:rsidRDefault="005718B2" w:rsidP="005718B2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и утвердить порядок проведения внешней проверки годового отчета об исполнении бюджета </w:t>
      </w:r>
      <w:r w:rsidR="00A90AD8">
        <w:rPr>
          <w:rFonts w:ascii="Times New Roman" w:hAnsi="Times New Roman" w:cs="Times New Roman"/>
          <w:sz w:val="24"/>
          <w:szCs w:val="24"/>
        </w:rPr>
        <w:t>Новоигирминского</w:t>
      </w:r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718B2" w:rsidRDefault="005718B2" w:rsidP="005718B2">
      <w:pPr>
        <w:pStyle w:val="a6"/>
        <w:spacing w:after="0"/>
        <w:ind w:right="-141"/>
        <w:jc w:val="both"/>
      </w:pPr>
      <w:r w:rsidRPr="00BB58DA">
        <w:rPr>
          <w:color w:val="FF0000"/>
        </w:rPr>
        <w:tab/>
      </w:r>
      <w:r w:rsidRPr="00BB58DA">
        <w:t xml:space="preserve">- Администрации </w:t>
      </w:r>
      <w:r w:rsidR="00A90AD8">
        <w:t>Новоигирминского</w:t>
      </w:r>
      <w:r>
        <w:t xml:space="preserve"> городского </w:t>
      </w:r>
      <w:r w:rsidRPr="00BB58DA">
        <w:t xml:space="preserve"> поселения:</w:t>
      </w:r>
    </w:p>
    <w:p w:rsidR="006D6D46" w:rsidRDefault="006D6D46" w:rsidP="005718B2">
      <w:pPr>
        <w:pStyle w:val="a6"/>
        <w:spacing w:after="0"/>
        <w:ind w:right="-141"/>
        <w:jc w:val="both"/>
      </w:pPr>
      <w:r>
        <w:t xml:space="preserve">            1. учесть при исполнении местного бюджета в текущем финансовом году и формировании Отчета об исполнении бюджета за 2015 год нарушения и недостатки, отмеченные КСП района в настоящем Заключении;</w:t>
      </w:r>
    </w:p>
    <w:p w:rsidR="005718B2" w:rsidRDefault="005718B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9584F">
        <w:rPr>
          <w:rFonts w:ascii="Times New Roman" w:hAnsi="Times New Roman" w:cs="Times New Roman"/>
          <w:sz w:val="24"/>
          <w:szCs w:val="24"/>
        </w:rPr>
        <w:t>2</w:t>
      </w:r>
      <w:r w:rsidRPr="00BB58DA">
        <w:rPr>
          <w:rFonts w:ascii="Times New Roman" w:hAnsi="Times New Roman" w:cs="Times New Roman"/>
          <w:sz w:val="24"/>
          <w:szCs w:val="24"/>
        </w:rPr>
        <w:t>.</w:t>
      </w:r>
      <w:r w:rsidRPr="00BB5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</w:t>
      </w:r>
      <w:r w:rsidRPr="00BB58DA">
        <w:rPr>
          <w:rFonts w:ascii="Times New Roman" w:hAnsi="Times New Roman" w:cs="Times New Roman"/>
          <w:sz w:val="24"/>
          <w:szCs w:val="24"/>
        </w:rPr>
        <w:t xml:space="preserve">оставление бюджетной отчетности </w:t>
      </w:r>
      <w:r w:rsidR="00A90AD8">
        <w:rPr>
          <w:rFonts w:ascii="Times New Roman" w:hAnsi="Times New Roman" w:cs="Times New Roman"/>
          <w:sz w:val="24"/>
          <w:szCs w:val="24"/>
        </w:rPr>
        <w:t xml:space="preserve">по ГРБС и получателям </w:t>
      </w:r>
      <w:r w:rsidRPr="00BB58DA">
        <w:rPr>
          <w:rFonts w:ascii="Times New Roman" w:hAnsi="Times New Roman" w:cs="Times New Roman"/>
          <w:sz w:val="24"/>
          <w:szCs w:val="24"/>
        </w:rPr>
        <w:t>в соответствии с требованиями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 от  28.12.2010 № 191н, в части состава и полноты отражения данных и результатов деятельности в пояснительной записке, и заполнение всех форм пояснительной записки</w:t>
      </w:r>
      <w:r w:rsidR="00F838A2">
        <w:rPr>
          <w:rFonts w:ascii="Times New Roman" w:hAnsi="Times New Roman" w:cs="Times New Roman"/>
          <w:sz w:val="24"/>
          <w:szCs w:val="24"/>
        </w:rPr>
        <w:t>;</w:t>
      </w:r>
    </w:p>
    <w:p w:rsidR="005718B2" w:rsidRDefault="00F838A2" w:rsidP="005718B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5718B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9584F">
        <w:rPr>
          <w:rFonts w:ascii="Times New Roman" w:hAnsi="Times New Roman" w:cs="Times New Roman"/>
          <w:sz w:val="24"/>
          <w:szCs w:val="24"/>
        </w:rPr>
        <w:t>3</w:t>
      </w:r>
      <w:r w:rsidR="005718B2" w:rsidRPr="00174365">
        <w:rPr>
          <w:rFonts w:ascii="Times New Roman" w:hAnsi="Times New Roman" w:cs="Times New Roman"/>
          <w:sz w:val="24"/>
          <w:szCs w:val="24"/>
        </w:rPr>
        <w:t xml:space="preserve">. </w:t>
      </w:r>
      <w:r w:rsidR="005718B2">
        <w:rPr>
          <w:rFonts w:ascii="Times New Roman" w:hAnsi="Times New Roman" w:cs="Times New Roman"/>
          <w:sz w:val="24"/>
          <w:szCs w:val="24"/>
        </w:rPr>
        <w:t>о</w:t>
      </w:r>
      <w:r w:rsidR="005718B2" w:rsidRPr="007E0F7E">
        <w:rPr>
          <w:rFonts w:ascii="Times New Roman" w:hAnsi="Times New Roman" w:cs="Times New Roman"/>
          <w:sz w:val="24"/>
          <w:szCs w:val="24"/>
        </w:rPr>
        <w:t>беспечить соблюдение порядка составления отчетности в соответствии с действующим законодательством, усилить  контроль за качеством бюджетной и бухгалтерской отчетности подведомственн</w:t>
      </w:r>
      <w:r w:rsidR="005718B2">
        <w:rPr>
          <w:rFonts w:ascii="Times New Roman" w:hAnsi="Times New Roman" w:cs="Times New Roman"/>
          <w:sz w:val="24"/>
          <w:szCs w:val="24"/>
        </w:rPr>
        <w:t>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8B2" w:rsidRDefault="0049584F" w:rsidP="005718B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18B2">
        <w:rPr>
          <w:rFonts w:ascii="Times New Roman" w:hAnsi="Times New Roman" w:cs="Times New Roman"/>
          <w:sz w:val="24"/>
          <w:szCs w:val="24"/>
        </w:rPr>
        <w:t>. о</w:t>
      </w:r>
      <w:r w:rsidR="005718B2" w:rsidRPr="007E0F7E">
        <w:rPr>
          <w:rFonts w:ascii="Times New Roman" w:hAnsi="Times New Roman" w:cs="Times New Roman"/>
          <w:sz w:val="24"/>
          <w:szCs w:val="24"/>
        </w:rPr>
        <w:t>беспечить соблюдение требований законодательства о проведении обязательной инвентаризации имущества и финансовых обязательств (в т.ч. отраженных на забалансовых счетах) перед составлением годовой отчетности</w:t>
      </w:r>
      <w:r w:rsidR="00F838A2">
        <w:rPr>
          <w:rFonts w:ascii="Times New Roman" w:hAnsi="Times New Roman" w:cs="Times New Roman"/>
          <w:sz w:val="24"/>
          <w:szCs w:val="24"/>
        </w:rPr>
        <w:t>;</w:t>
      </w:r>
    </w:p>
    <w:p w:rsidR="005718B2" w:rsidRDefault="0049584F" w:rsidP="005718B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8B2">
        <w:rPr>
          <w:rFonts w:ascii="Times New Roman" w:hAnsi="Times New Roman" w:cs="Times New Roman"/>
          <w:sz w:val="24"/>
          <w:szCs w:val="24"/>
        </w:rPr>
        <w:t xml:space="preserve">. </w:t>
      </w:r>
      <w:r w:rsidR="00F838A2">
        <w:rPr>
          <w:rFonts w:ascii="Times New Roman" w:hAnsi="Times New Roman" w:cs="Times New Roman"/>
          <w:sz w:val="24"/>
          <w:szCs w:val="24"/>
        </w:rPr>
        <w:t>п</w:t>
      </w:r>
      <w:r w:rsidR="005718B2" w:rsidRPr="00BB58DA">
        <w:rPr>
          <w:rFonts w:ascii="Times New Roman" w:hAnsi="Times New Roman" w:cs="Times New Roman"/>
          <w:sz w:val="24"/>
          <w:szCs w:val="24"/>
        </w:rPr>
        <w:t>ровести работу по оптимизации расходов местного бюджета путем проведения инвентаризации Реестра расходных обязательств для выявления расходных обязательств, имеющих недостаточное нормативно-пр</w:t>
      </w:r>
      <w:r w:rsidR="00DC1477">
        <w:rPr>
          <w:rFonts w:ascii="Times New Roman" w:hAnsi="Times New Roman" w:cs="Times New Roman"/>
          <w:sz w:val="24"/>
          <w:szCs w:val="24"/>
        </w:rPr>
        <w:t>авовое и финансовое обеспечение;</w:t>
      </w:r>
    </w:p>
    <w:p w:rsidR="00A41F00" w:rsidRDefault="00A41F00" w:rsidP="005718B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доработать учетную политику с соблюдением требований действующего законодательства;</w:t>
      </w:r>
    </w:p>
    <w:p w:rsidR="00DC1477" w:rsidRDefault="00A41F00" w:rsidP="005718B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1477" w:rsidRPr="00DC1477">
        <w:rPr>
          <w:rFonts w:ascii="Times New Roman" w:hAnsi="Times New Roman" w:cs="Times New Roman"/>
          <w:sz w:val="24"/>
          <w:szCs w:val="24"/>
        </w:rPr>
        <w:t xml:space="preserve">. </w:t>
      </w:r>
      <w:r w:rsidR="00DC1477" w:rsidRPr="00DC147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</w:t>
      </w:r>
      <w:r w:rsidR="00F06D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сить  </w:t>
      </w:r>
      <w:r w:rsidR="00DC1477" w:rsidRPr="00DC14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ответственности администраторов поступлений по контролю за </w:t>
      </w:r>
      <w:r w:rsidR="00DC1477" w:rsidRPr="00DC1477">
        <w:rPr>
          <w:rFonts w:ascii="Times New Roman" w:hAnsi="Times New Roman" w:cs="Times New Roman"/>
          <w:color w:val="000000"/>
          <w:sz w:val="24"/>
          <w:szCs w:val="24"/>
        </w:rPr>
        <w:t xml:space="preserve">полным и своевременным поступлением доходов, отнесенных к ведению </w:t>
      </w:r>
      <w:r w:rsidR="00DC147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90AD8">
        <w:rPr>
          <w:rFonts w:ascii="Times New Roman" w:hAnsi="Times New Roman" w:cs="Times New Roman"/>
          <w:color w:val="000000"/>
          <w:sz w:val="24"/>
          <w:szCs w:val="24"/>
        </w:rPr>
        <w:t xml:space="preserve">Новоигирминского </w:t>
      </w:r>
      <w:r w:rsidR="00DC1477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A90A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0AD8" w:rsidRDefault="00A90AD8" w:rsidP="005718B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МУК «Городской дом культуры «Прометей»</w:t>
      </w:r>
      <w:r w:rsidR="00D42BD6">
        <w:rPr>
          <w:rFonts w:ascii="Times New Roman" w:hAnsi="Times New Roman" w:cs="Times New Roman"/>
          <w:sz w:val="24"/>
          <w:szCs w:val="24"/>
        </w:rPr>
        <w:t>:</w:t>
      </w:r>
    </w:p>
    <w:p w:rsidR="005718B2" w:rsidRDefault="00D42BD6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постановку на бухгалтерский учет нежилое здание</w:t>
      </w:r>
      <w:r w:rsidR="00A41F00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00" w:rsidRPr="00D42BD6">
        <w:rPr>
          <w:rFonts w:ascii="Times New Roman" w:hAnsi="Times New Roman" w:cs="Times New Roman"/>
          <w:sz w:val="24"/>
          <w:szCs w:val="24"/>
        </w:rPr>
        <w:t>р.п. Новая Игирма, мкр-н Химки, д.33</w:t>
      </w:r>
      <w:r w:rsidR="00A41F00">
        <w:rPr>
          <w:rFonts w:ascii="Times New Roman" w:hAnsi="Times New Roman" w:cs="Times New Roman"/>
          <w:sz w:val="24"/>
          <w:szCs w:val="24"/>
        </w:rPr>
        <w:t>, переданное в оперативное управление;</w:t>
      </w: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перезаключить договор аренды на транспортное средство, производить расходы согласно утвержденны</w:t>
      </w:r>
      <w:r w:rsidR="002A74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лимит</w:t>
      </w:r>
      <w:r w:rsidR="002A745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МКУ «ТехСервис Прометей»;</w:t>
      </w: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 доработать Учетную политику в соответствии с действующим законодательством.</w:t>
      </w: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F00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F00" w:rsidRPr="00BB58DA" w:rsidRDefault="00A41F00" w:rsidP="00A41F00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8B2" w:rsidRPr="00174365" w:rsidRDefault="005718B2" w:rsidP="005718B2">
      <w:pPr>
        <w:tabs>
          <w:tab w:val="left" w:pos="495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Инспектор КСП </w:t>
      </w:r>
    </w:p>
    <w:p w:rsidR="005718B2" w:rsidRPr="00174365" w:rsidRDefault="005718B2" w:rsidP="005718B2">
      <w:pPr>
        <w:tabs>
          <w:tab w:val="left" w:pos="495"/>
          <w:tab w:val="left" w:pos="8310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Нижнеилимского муниципального района</w:t>
      </w: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Цепляева А.Р.</w:t>
      </w:r>
    </w:p>
    <w:p w:rsidR="005718B2" w:rsidRPr="00174365" w:rsidRDefault="005718B2" w:rsidP="005718B2">
      <w:pPr>
        <w:ind w:right="-141"/>
        <w:jc w:val="center"/>
        <w:rPr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>
      <w:pPr>
        <w:ind w:right="-141"/>
        <w:jc w:val="center"/>
        <w:rPr>
          <w:b/>
          <w:color w:val="000000"/>
          <w:spacing w:val="-4"/>
          <w:sz w:val="28"/>
          <w:szCs w:val="28"/>
        </w:rPr>
      </w:pPr>
    </w:p>
    <w:p w:rsidR="005718B2" w:rsidRDefault="005718B2" w:rsidP="005718B2"/>
    <w:p w:rsidR="00520DA4" w:rsidRDefault="00520DA4"/>
    <w:sectPr w:rsidR="00520DA4" w:rsidSect="00BF765C">
      <w:footerReference w:type="default" r:id="rId10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35" w:rsidRDefault="00D04335" w:rsidP="005718B2">
      <w:pPr>
        <w:spacing w:after="0" w:line="240" w:lineRule="auto"/>
      </w:pPr>
      <w:r>
        <w:separator/>
      </w:r>
    </w:p>
  </w:endnote>
  <w:endnote w:type="continuationSeparator" w:id="1">
    <w:p w:rsidR="00D04335" w:rsidRDefault="00D04335" w:rsidP="0057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5669"/>
      <w:docPartObj>
        <w:docPartGallery w:val="Page Numbers (Bottom of Page)"/>
        <w:docPartUnique/>
      </w:docPartObj>
    </w:sdtPr>
    <w:sdtContent>
      <w:p w:rsidR="00755BAC" w:rsidRDefault="00755BAC">
        <w:pPr>
          <w:pStyle w:val="a4"/>
          <w:jc w:val="center"/>
        </w:pPr>
        <w:fldSimple w:instr=" PAGE   \* MERGEFORMAT ">
          <w:r w:rsidR="00EB5B04">
            <w:rPr>
              <w:noProof/>
            </w:rPr>
            <w:t>6</w:t>
          </w:r>
        </w:fldSimple>
      </w:p>
    </w:sdtContent>
  </w:sdt>
  <w:p w:rsidR="00755BAC" w:rsidRDefault="00755B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35" w:rsidRDefault="00D04335" w:rsidP="005718B2">
      <w:pPr>
        <w:spacing w:after="0" w:line="240" w:lineRule="auto"/>
      </w:pPr>
      <w:r>
        <w:separator/>
      </w:r>
    </w:p>
  </w:footnote>
  <w:footnote w:type="continuationSeparator" w:id="1">
    <w:p w:rsidR="00D04335" w:rsidRDefault="00D04335" w:rsidP="0057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B2"/>
    <w:rsid w:val="000009EE"/>
    <w:rsid w:val="00001978"/>
    <w:rsid w:val="0001187C"/>
    <w:rsid w:val="00021CD5"/>
    <w:rsid w:val="00021EB5"/>
    <w:rsid w:val="0003140B"/>
    <w:rsid w:val="0003540C"/>
    <w:rsid w:val="0003555B"/>
    <w:rsid w:val="0004598F"/>
    <w:rsid w:val="00046B24"/>
    <w:rsid w:val="00051988"/>
    <w:rsid w:val="00060C57"/>
    <w:rsid w:val="00061432"/>
    <w:rsid w:val="00066E8E"/>
    <w:rsid w:val="00073CE6"/>
    <w:rsid w:val="000744DC"/>
    <w:rsid w:val="00077CD8"/>
    <w:rsid w:val="00087CB0"/>
    <w:rsid w:val="00092C52"/>
    <w:rsid w:val="00095F48"/>
    <w:rsid w:val="000A1471"/>
    <w:rsid w:val="000A18F4"/>
    <w:rsid w:val="000A29CE"/>
    <w:rsid w:val="000B1B23"/>
    <w:rsid w:val="000D2A94"/>
    <w:rsid w:val="000D4026"/>
    <w:rsid w:val="000E0116"/>
    <w:rsid w:val="000E31D4"/>
    <w:rsid w:val="000E39BB"/>
    <w:rsid w:val="000F4F41"/>
    <w:rsid w:val="00104C46"/>
    <w:rsid w:val="00104C9A"/>
    <w:rsid w:val="001117D7"/>
    <w:rsid w:val="001138E1"/>
    <w:rsid w:val="00145D2C"/>
    <w:rsid w:val="001469C2"/>
    <w:rsid w:val="00151136"/>
    <w:rsid w:val="00151421"/>
    <w:rsid w:val="00151F9E"/>
    <w:rsid w:val="0017405D"/>
    <w:rsid w:val="001818C2"/>
    <w:rsid w:val="00183BEB"/>
    <w:rsid w:val="001933E1"/>
    <w:rsid w:val="0019366E"/>
    <w:rsid w:val="001A49B8"/>
    <w:rsid w:val="001A7585"/>
    <w:rsid w:val="001A7A38"/>
    <w:rsid w:val="001B412E"/>
    <w:rsid w:val="001C2F15"/>
    <w:rsid w:val="001C6A94"/>
    <w:rsid w:val="001C6C43"/>
    <w:rsid w:val="001D2B84"/>
    <w:rsid w:val="001D6783"/>
    <w:rsid w:val="001E27EC"/>
    <w:rsid w:val="001E60F1"/>
    <w:rsid w:val="001F4332"/>
    <w:rsid w:val="002059A0"/>
    <w:rsid w:val="002131CD"/>
    <w:rsid w:val="00214E77"/>
    <w:rsid w:val="002167A1"/>
    <w:rsid w:val="002178B3"/>
    <w:rsid w:val="00220804"/>
    <w:rsid w:val="00223BC9"/>
    <w:rsid w:val="00234824"/>
    <w:rsid w:val="00235987"/>
    <w:rsid w:val="002452BD"/>
    <w:rsid w:val="00245F2D"/>
    <w:rsid w:val="0024692D"/>
    <w:rsid w:val="00247258"/>
    <w:rsid w:val="00250BC2"/>
    <w:rsid w:val="00250EF5"/>
    <w:rsid w:val="0025122F"/>
    <w:rsid w:val="002550BF"/>
    <w:rsid w:val="002642AF"/>
    <w:rsid w:val="002665CF"/>
    <w:rsid w:val="00271DA8"/>
    <w:rsid w:val="00281E40"/>
    <w:rsid w:val="002A1CEF"/>
    <w:rsid w:val="002A3CF9"/>
    <w:rsid w:val="002A745E"/>
    <w:rsid w:val="002B518A"/>
    <w:rsid w:val="002C120C"/>
    <w:rsid w:val="002C1BCA"/>
    <w:rsid w:val="002D02CA"/>
    <w:rsid w:val="002D1EC0"/>
    <w:rsid w:val="002D3573"/>
    <w:rsid w:val="002D635A"/>
    <w:rsid w:val="002E2A11"/>
    <w:rsid w:val="002E5848"/>
    <w:rsid w:val="002F5D85"/>
    <w:rsid w:val="003057BB"/>
    <w:rsid w:val="00313210"/>
    <w:rsid w:val="00327ACE"/>
    <w:rsid w:val="003404A0"/>
    <w:rsid w:val="003407F2"/>
    <w:rsid w:val="0034097F"/>
    <w:rsid w:val="0034583E"/>
    <w:rsid w:val="003468C5"/>
    <w:rsid w:val="003603FA"/>
    <w:rsid w:val="003617F3"/>
    <w:rsid w:val="00362E4D"/>
    <w:rsid w:val="003670B5"/>
    <w:rsid w:val="003711C7"/>
    <w:rsid w:val="00372352"/>
    <w:rsid w:val="00372600"/>
    <w:rsid w:val="00372665"/>
    <w:rsid w:val="0037266B"/>
    <w:rsid w:val="0038377C"/>
    <w:rsid w:val="0038582D"/>
    <w:rsid w:val="003A3B29"/>
    <w:rsid w:val="003A462F"/>
    <w:rsid w:val="003B0BBB"/>
    <w:rsid w:val="003C51E4"/>
    <w:rsid w:val="003E2DEF"/>
    <w:rsid w:val="00403B1A"/>
    <w:rsid w:val="00415F5E"/>
    <w:rsid w:val="004236A0"/>
    <w:rsid w:val="004246E6"/>
    <w:rsid w:val="00424A19"/>
    <w:rsid w:val="00426D67"/>
    <w:rsid w:val="004346DF"/>
    <w:rsid w:val="00442BC4"/>
    <w:rsid w:val="00443547"/>
    <w:rsid w:val="00447411"/>
    <w:rsid w:val="00451E2D"/>
    <w:rsid w:val="00465769"/>
    <w:rsid w:val="00471B97"/>
    <w:rsid w:val="00482C7B"/>
    <w:rsid w:val="0049584F"/>
    <w:rsid w:val="004B04C5"/>
    <w:rsid w:val="004B0D5F"/>
    <w:rsid w:val="004B20EF"/>
    <w:rsid w:val="004B2FF6"/>
    <w:rsid w:val="004C47D1"/>
    <w:rsid w:val="004C4874"/>
    <w:rsid w:val="004D668F"/>
    <w:rsid w:val="004E6B9A"/>
    <w:rsid w:val="004F01D6"/>
    <w:rsid w:val="00500AAD"/>
    <w:rsid w:val="0050678F"/>
    <w:rsid w:val="005075FD"/>
    <w:rsid w:val="00520DA4"/>
    <w:rsid w:val="00523AEC"/>
    <w:rsid w:val="005268E8"/>
    <w:rsid w:val="005337B1"/>
    <w:rsid w:val="0053674D"/>
    <w:rsid w:val="00551BF5"/>
    <w:rsid w:val="00555806"/>
    <w:rsid w:val="005718B2"/>
    <w:rsid w:val="00572282"/>
    <w:rsid w:val="00576A85"/>
    <w:rsid w:val="005820EF"/>
    <w:rsid w:val="005903E9"/>
    <w:rsid w:val="0059135D"/>
    <w:rsid w:val="00596E1C"/>
    <w:rsid w:val="005A41D1"/>
    <w:rsid w:val="005A5D55"/>
    <w:rsid w:val="005B00F4"/>
    <w:rsid w:val="005B3F2B"/>
    <w:rsid w:val="005B7473"/>
    <w:rsid w:val="005C5871"/>
    <w:rsid w:val="005C752E"/>
    <w:rsid w:val="005D13F5"/>
    <w:rsid w:val="005D3DE6"/>
    <w:rsid w:val="005E3DCA"/>
    <w:rsid w:val="005F4E6C"/>
    <w:rsid w:val="005F4FF9"/>
    <w:rsid w:val="006012EB"/>
    <w:rsid w:val="00601930"/>
    <w:rsid w:val="00610E71"/>
    <w:rsid w:val="00611A7A"/>
    <w:rsid w:val="00620F8B"/>
    <w:rsid w:val="006369C1"/>
    <w:rsid w:val="00641BEF"/>
    <w:rsid w:val="006431B6"/>
    <w:rsid w:val="006436B3"/>
    <w:rsid w:val="00643DD5"/>
    <w:rsid w:val="00644D6C"/>
    <w:rsid w:val="006472E6"/>
    <w:rsid w:val="00650559"/>
    <w:rsid w:val="0065152D"/>
    <w:rsid w:val="00663A02"/>
    <w:rsid w:val="0066633E"/>
    <w:rsid w:val="0067420D"/>
    <w:rsid w:val="00674CCE"/>
    <w:rsid w:val="00677C27"/>
    <w:rsid w:val="00691631"/>
    <w:rsid w:val="00692B22"/>
    <w:rsid w:val="00696EE4"/>
    <w:rsid w:val="006A2D4D"/>
    <w:rsid w:val="006A5C69"/>
    <w:rsid w:val="006B1267"/>
    <w:rsid w:val="006C3C58"/>
    <w:rsid w:val="006D32DC"/>
    <w:rsid w:val="006D6D46"/>
    <w:rsid w:val="006E15DB"/>
    <w:rsid w:val="006E533C"/>
    <w:rsid w:val="006E7BA7"/>
    <w:rsid w:val="006E7DF9"/>
    <w:rsid w:val="006F0D2D"/>
    <w:rsid w:val="006F1680"/>
    <w:rsid w:val="006F1E71"/>
    <w:rsid w:val="006F642C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BAC"/>
    <w:rsid w:val="00755E18"/>
    <w:rsid w:val="00763A77"/>
    <w:rsid w:val="00764A1C"/>
    <w:rsid w:val="0077080A"/>
    <w:rsid w:val="00771A87"/>
    <w:rsid w:val="007909B4"/>
    <w:rsid w:val="00791654"/>
    <w:rsid w:val="007A2364"/>
    <w:rsid w:val="007B20C5"/>
    <w:rsid w:val="007B333B"/>
    <w:rsid w:val="007B7183"/>
    <w:rsid w:val="007B75B3"/>
    <w:rsid w:val="007C2875"/>
    <w:rsid w:val="007D1F04"/>
    <w:rsid w:val="007D27B4"/>
    <w:rsid w:val="007E433F"/>
    <w:rsid w:val="007E5802"/>
    <w:rsid w:val="008004A9"/>
    <w:rsid w:val="00803899"/>
    <w:rsid w:val="00815C97"/>
    <w:rsid w:val="00815E49"/>
    <w:rsid w:val="00823584"/>
    <w:rsid w:val="0083734D"/>
    <w:rsid w:val="008418EF"/>
    <w:rsid w:val="00845AD0"/>
    <w:rsid w:val="008520DC"/>
    <w:rsid w:val="00852864"/>
    <w:rsid w:val="008653D9"/>
    <w:rsid w:val="0088071C"/>
    <w:rsid w:val="008862B3"/>
    <w:rsid w:val="00886D0F"/>
    <w:rsid w:val="00891121"/>
    <w:rsid w:val="008925E5"/>
    <w:rsid w:val="008A6B0C"/>
    <w:rsid w:val="008C1399"/>
    <w:rsid w:val="008C35E7"/>
    <w:rsid w:val="008C560A"/>
    <w:rsid w:val="008D1F01"/>
    <w:rsid w:val="008D3936"/>
    <w:rsid w:val="008E500E"/>
    <w:rsid w:val="008F4202"/>
    <w:rsid w:val="008F4CC9"/>
    <w:rsid w:val="008F7E52"/>
    <w:rsid w:val="00900EA7"/>
    <w:rsid w:val="0091330B"/>
    <w:rsid w:val="00915E90"/>
    <w:rsid w:val="00932E24"/>
    <w:rsid w:val="0093328E"/>
    <w:rsid w:val="0093386D"/>
    <w:rsid w:val="00942378"/>
    <w:rsid w:val="00944388"/>
    <w:rsid w:val="00954C99"/>
    <w:rsid w:val="009554C3"/>
    <w:rsid w:val="009822D9"/>
    <w:rsid w:val="00984EE9"/>
    <w:rsid w:val="00985AEC"/>
    <w:rsid w:val="009A7CD3"/>
    <w:rsid w:val="009B640A"/>
    <w:rsid w:val="009C17AB"/>
    <w:rsid w:val="009C4010"/>
    <w:rsid w:val="009C406C"/>
    <w:rsid w:val="009D7453"/>
    <w:rsid w:val="009F3141"/>
    <w:rsid w:val="009F5F3C"/>
    <w:rsid w:val="00A01C92"/>
    <w:rsid w:val="00A134AE"/>
    <w:rsid w:val="00A2360C"/>
    <w:rsid w:val="00A3143B"/>
    <w:rsid w:val="00A3230A"/>
    <w:rsid w:val="00A41F00"/>
    <w:rsid w:val="00A4475E"/>
    <w:rsid w:val="00A505F9"/>
    <w:rsid w:val="00A549A4"/>
    <w:rsid w:val="00A56C31"/>
    <w:rsid w:val="00A82445"/>
    <w:rsid w:val="00A869FE"/>
    <w:rsid w:val="00A86FCF"/>
    <w:rsid w:val="00A9067B"/>
    <w:rsid w:val="00A90AD8"/>
    <w:rsid w:val="00AA555A"/>
    <w:rsid w:val="00AA6AC4"/>
    <w:rsid w:val="00AB0D23"/>
    <w:rsid w:val="00AC43B1"/>
    <w:rsid w:val="00AC4C23"/>
    <w:rsid w:val="00AE4BC4"/>
    <w:rsid w:val="00AF5AAD"/>
    <w:rsid w:val="00AF70FD"/>
    <w:rsid w:val="00B23489"/>
    <w:rsid w:val="00B274DB"/>
    <w:rsid w:val="00B35675"/>
    <w:rsid w:val="00B43612"/>
    <w:rsid w:val="00B54A79"/>
    <w:rsid w:val="00B6134F"/>
    <w:rsid w:val="00B618E6"/>
    <w:rsid w:val="00B6412A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1053"/>
    <w:rsid w:val="00BD4E51"/>
    <w:rsid w:val="00BD5EA9"/>
    <w:rsid w:val="00BD5FD5"/>
    <w:rsid w:val="00BE3802"/>
    <w:rsid w:val="00BE47EF"/>
    <w:rsid w:val="00BE61AE"/>
    <w:rsid w:val="00BF2D20"/>
    <w:rsid w:val="00BF3655"/>
    <w:rsid w:val="00BF765C"/>
    <w:rsid w:val="00C00962"/>
    <w:rsid w:val="00C066BA"/>
    <w:rsid w:val="00C14360"/>
    <w:rsid w:val="00C20FEF"/>
    <w:rsid w:val="00C40CD8"/>
    <w:rsid w:val="00C6174C"/>
    <w:rsid w:val="00C63652"/>
    <w:rsid w:val="00C664ED"/>
    <w:rsid w:val="00C75075"/>
    <w:rsid w:val="00C8525C"/>
    <w:rsid w:val="00C86125"/>
    <w:rsid w:val="00C92AB0"/>
    <w:rsid w:val="00CA2143"/>
    <w:rsid w:val="00CB7B4F"/>
    <w:rsid w:val="00CC1949"/>
    <w:rsid w:val="00CD3FC8"/>
    <w:rsid w:val="00CD6DB7"/>
    <w:rsid w:val="00CE2F60"/>
    <w:rsid w:val="00CE7389"/>
    <w:rsid w:val="00D01876"/>
    <w:rsid w:val="00D0244C"/>
    <w:rsid w:val="00D04335"/>
    <w:rsid w:val="00D04748"/>
    <w:rsid w:val="00D20E9B"/>
    <w:rsid w:val="00D22997"/>
    <w:rsid w:val="00D36581"/>
    <w:rsid w:val="00D42BD6"/>
    <w:rsid w:val="00D518D0"/>
    <w:rsid w:val="00D5404A"/>
    <w:rsid w:val="00D55F0B"/>
    <w:rsid w:val="00D643DC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C1477"/>
    <w:rsid w:val="00DC6E93"/>
    <w:rsid w:val="00DD1FF6"/>
    <w:rsid w:val="00DD2E78"/>
    <w:rsid w:val="00DE048A"/>
    <w:rsid w:val="00DE603F"/>
    <w:rsid w:val="00DE7238"/>
    <w:rsid w:val="00DE7587"/>
    <w:rsid w:val="00E005D2"/>
    <w:rsid w:val="00E0361C"/>
    <w:rsid w:val="00E07E4C"/>
    <w:rsid w:val="00E1260B"/>
    <w:rsid w:val="00E127E2"/>
    <w:rsid w:val="00E15A65"/>
    <w:rsid w:val="00E23A8A"/>
    <w:rsid w:val="00E36DA6"/>
    <w:rsid w:val="00E37440"/>
    <w:rsid w:val="00E37C84"/>
    <w:rsid w:val="00E408A0"/>
    <w:rsid w:val="00E45B92"/>
    <w:rsid w:val="00E56492"/>
    <w:rsid w:val="00E57FCA"/>
    <w:rsid w:val="00E57FD2"/>
    <w:rsid w:val="00E64DE7"/>
    <w:rsid w:val="00E65C17"/>
    <w:rsid w:val="00E87E6F"/>
    <w:rsid w:val="00E96AB5"/>
    <w:rsid w:val="00E9774D"/>
    <w:rsid w:val="00EA20CD"/>
    <w:rsid w:val="00EA61FE"/>
    <w:rsid w:val="00EB2848"/>
    <w:rsid w:val="00EB369A"/>
    <w:rsid w:val="00EB5B04"/>
    <w:rsid w:val="00EC0AF2"/>
    <w:rsid w:val="00EC36D0"/>
    <w:rsid w:val="00EC50D5"/>
    <w:rsid w:val="00EF3658"/>
    <w:rsid w:val="00EF43A1"/>
    <w:rsid w:val="00EF44DD"/>
    <w:rsid w:val="00F02340"/>
    <w:rsid w:val="00F047A7"/>
    <w:rsid w:val="00F06D32"/>
    <w:rsid w:val="00F13510"/>
    <w:rsid w:val="00F14511"/>
    <w:rsid w:val="00F327B0"/>
    <w:rsid w:val="00F408A1"/>
    <w:rsid w:val="00F40AE8"/>
    <w:rsid w:val="00F45A2B"/>
    <w:rsid w:val="00F5149E"/>
    <w:rsid w:val="00F5366A"/>
    <w:rsid w:val="00F5387A"/>
    <w:rsid w:val="00F61AC4"/>
    <w:rsid w:val="00F65384"/>
    <w:rsid w:val="00F65C26"/>
    <w:rsid w:val="00F66F4A"/>
    <w:rsid w:val="00F7177F"/>
    <w:rsid w:val="00F739EA"/>
    <w:rsid w:val="00F75F8D"/>
    <w:rsid w:val="00F81D9A"/>
    <w:rsid w:val="00F838A2"/>
    <w:rsid w:val="00FB1940"/>
    <w:rsid w:val="00FB5F1F"/>
    <w:rsid w:val="00FC1A04"/>
    <w:rsid w:val="00FC1EF7"/>
    <w:rsid w:val="00FC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7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18B2"/>
  </w:style>
  <w:style w:type="paragraph" w:styleId="a6">
    <w:name w:val="Body Text"/>
    <w:basedOn w:val="a"/>
    <w:link w:val="a7"/>
    <w:rsid w:val="005718B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71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718B2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71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Цитата2"/>
    <w:basedOn w:val="a"/>
    <w:rsid w:val="005718B2"/>
    <w:pPr>
      <w:widowControl w:val="0"/>
      <w:suppressAutoHyphens/>
      <w:overflowPunct w:val="0"/>
      <w:autoSpaceDE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B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7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18B2"/>
  </w:style>
  <w:style w:type="character" w:customStyle="1" w:styleId="apple-converted-space">
    <w:name w:val="apple-converted-space"/>
    <w:basedOn w:val="a0"/>
    <w:rsid w:val="006D6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sideWall>
      <c:spPr>
        <a:gradFill>
          <a:gsLst>
            <a:gs pos="0">
              <a:srgbClr val="F79646">
                <a:lumMod val="40000"/>
                <a:lumOff val="60000"/>
              </a:srgb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>
          <a:solidFill>
            <a:schemeClr val="accent2">
              <a:lumMod val="40000"/>
              <a:lumOff val="60000"/>
            </a:schemeClr>
          </a:solidFill>
        </a:ln>
      </c:spPr>
    </c:sideWall>
    <c:backWall>
      <c:spPr>
        <a:gradFill>
          <a:gsLst>
            <a:gs pos="0">
              <a:srgbClr val="F79646">
                <a:lumMod val="40000"/>
                <a:lumOff val="60000"/>
              </a:srgb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>
          <a:solidFill>
            <a:schemeClr val="accent2">
              <a:lumMod val="40000"/>
              <a:lumOff val="60000"/>
            </a:schemeClr>
          </a:solidFill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расходов</c:v>
                </c:pt>
              </c:strCache>
            </c:strRef>
          </c:tx>
          <c:dLbls>
            <c:dLbl>
              <c:idx val="0"/>
              <c:layout>
                <c:manualLayout>
                  <c:x val="8.3333333333333565E-2"/>
                  <c:y val="-7.5396825396826406E-2"/>
                </c:manualLayout>
              </c:layout>
              <c:showVal val="1"/>
            </c:dLbl>
            <c:dLbl>
              <c:idx val="1"/>
              <c:layout>
                <c:manualLayout>
                  <c:x val="8.7962907590137709E-2"/>
                  <c:y val="-7.1428571428571494E-2"/>
                </c:manualLayout>
              </c:layout>
              <c:showVal val="1"/>
            </c:dLbl>
            <c:dLbl>
              <c:idx val="2"/>
              <c:layout>
                <c:manualLayout>
                  <c:x val="9.2592592592594627E-2"/>
                  <c:y val="-7.14285714285714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54291</c:v>
                </c:pt>
                <c:pt idx="1">
                  <c:v>48234</c:v>
                </c:pt>
                <c:pt idx="2">
                  <c:v>49534.5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объем доходов</c:v>
                </c:pt>
              </c:strCache>
            </c:strRef>
          </c:tx>
          <c:dLbls>
            <c:dLbl>
              <c:idx val="0"/>
              <c:layout>
                <c:manualLayout>
                  <c:x val="8.5648028173695684E-2"/>
                  <c:y val="-7.9365391826023438E-2"/>
                </c:manualLayout>
              </c:layout>
              <c:showVal val="1"/>
            </c:dLbl>
            <c:dLbl>
              <c:idx val="1"/>
              <c:layout>
                <c:manualLayout>
                  <c:x val="8.3333296418116515E-2"/>
                  <c:y val="-3.174603174603171E-2"/>
                </c:manualLayout>
              </c:layout>
              <c:showVal val="1"/>
            </c:dLbl>
            <c:dLbl>
              <c:idx val="2"/>
              <c:layout>
                <c:manualLayout>
                  <c:x val="9.4467959437559798E-2"/>
                  <c:y val="-8.33336457942757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52545</c:v>
                </c:pt>
                <c:pt idx="1">
                  <c:v>48235</c:v>
                </c:pt>
                <c:pt idx="2" formatCode="#,##0.00">
                  <c:v>49800.2</c:v>
                </c:pt>
              </c:numCache>
            </c:numRef>
          </c:val>
        </c:ser>
        <c:shape val="cylinder"/>
        <c:axId val="50270976"/>
        <c:axId val="50335744"/>
        <c:axId val="0"/>
      </c:bar3DChart>
      <c:catAx>
        <c:axId val="50270976"/>
        <c:scaling>
          <c:orientation val="minMax"/>
        </c:scaling>
        <c:axPos val="b"/>
        <c:tickLblPos val="nextTo"/>
        <c:crossAx val="50335744"/>
        <c:crosses val="autoZero"/>
        <c:auto val="1"/>
        <c:lblAlgn val="ctr"/>
        <c:lblOffset val="100"/>
      </c:catAx>
      <c:valAx>
        <c:axId val="50335744"/>
        <c:scaling>
          <c:orientation val="minMax"/>
        </c:scaling>
        <c:axPos val="l"/>
        <c:majorGridlines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</c:majorGridlines>
        <c:numFmt formatCode="#,##0" sourceLinked="1"/>
        <c:tickLblPos val="nextTo"/>
        <c:crossAx val="50270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Исполнение</a:t>
            </a:r>
            <a:r>
              <a:rPr lang="ru-RU" sz="1200" baseline="0">
                <a:latin typeface="+mj-lt"/>
              </a:rPr>
              <a:t> расходов бюджета поселения по годам</a:t>
            </a:r>
          </a:p>
          <a:p>
            <a:pPr>
              <a:defRPr sz="1200">
                <a:latin typeface="+mj-lt"/>
              </a:defRPr>
            </a:pPr>
            <a:r>
              <a:rPr lang="ru-RU" sz="1200" baseline="0">
                <a:latin typeface="+mj-lt"/>
              </a:rPr>
              <a:t> (тыс. рублей)</a:t>
            </a:r>
            <a:endParaRPr lang="ru-RU" sz="1200">
              <a:latin typeface="+mj-lt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расходов</c:v>
                </c:pt>
              </c:strCache>
            </c:strRef>
          </c:tx>
          <c:dLbls>
            <c:dLbl>
              <c:idx val="2"/>
              <c:layout>
                <c:manualLayout>
                  <c:x val="-9.2592592592594686E-3"/>
                  <c:y val="-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54291</c:v>
                </c:pt>
                <c:pt idx="1">
                  <c:v>49234</c:v>
                </c:pt>
                <c:pt idx="2" formatCode="#,##0.00">
                  <c:v>49534.5</c:v>
                </c:pt>
              </c:numCache>
            </c:numRef>
          </c:val>
        </c:ser>
        <c:marker val="1"/>
        <c:axId val="77107200"/>
        <c:axId val="77378304"/>
      </c:lineChart>
      <c:catAx>
        <c:axId val="77107200"/>
        <c:scaling>
          <c:orientation val="minMax"/>
        </c:scaling>
        <c:axPos val="b"/>
        <c:tickLblPos val="nextTo"/>
        <c:crossAx val="77378304"/>
        <c:crosses val="autoZero"/>
        <c:auto val="1"/>
        <c:lblAlgn val="ctr"/>
        <c:lblOffset val="100"/>
      </c:catAx>
      <c:valAx>
        <c:axId val="77378304"/>
        <c:scaling>
          <c:orientation val="minMax"/>
        </c:scaling>
        <c:axPos val="l"/>
        <c:majorGridlines/>
        <c:numFmt formatCode="#,##0" sourceLinked="1"/>
        <c:tickLblPos val="nextTo"/>
        <c:crossAx val="77107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2015-04-29T10:19:00Z</cp:lastPrinted>
  <dcterms:created xsi:type="dcterms:W3CDTF">2015-04-29T10:20:00Z</dcterms:created>
  <dcterms:modified xsi:type="dcterms:W3CDTF">2015-04-29T10:20:00Z</dcterms:modified>
</cp:coreProperties>
</file>