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От «</w:t>
      </w:r>
      <w:r w:rsidR="006D2B74">
        <w:rPr>
          <w:rFonts w:eastAsia="Times New Roman" w:cs="Times New Roman"/>
          <w:sz w:val="28"/>
          <w:szCs w:val="28"/>
          <w:u w:val="single"/>
          <w:lang w:eastAsia="ru-RU"/>
        </w:rPr>
        <w:t>04» октября</w:t>
      </w:r>
      <w:r w:rsidR="00756359" w:rsidRPr="00BF1438">
        <w:rPr>
          <w:rFonts w:eastAsia="Times New Roman" w:cs="Times New Roman"/>
          <w:sz w:val="28"/>
          <w:szCs w:val="28"/>
          <w:u w:val="single"/>
          <w:lang w:eastAsia="ru-RU"/>
        </w:rPr>
        <w:t xml:space="preserve"> 2016 г.  №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6D2B74">
        <w:rPr>
          <w:rFonts w:eastAsia="Times New Roman" w:cs="Times New Roman"/>
          <w:sz w:val="28"/>
          <w:szCs w:val="28"/>
          <w:u w:val="single"/>
          <w:lang w:eastAsia="ru-RU"/>
        </w:rPr>
        <w:t>760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A139A3" w:rsidRDefault="00665795" w:rsidP="00B709D8">
      <w:pPr>
        <w:pStyle w:val="a3"/>
        <w:ind w:right="3684"/>
        <w:jc w:val="both"/>
        <w:rPr>
          <w:sz w:val="28"/>
          <w:szCs w:val="28"/>
        </w:rPr>
      </w:pPr>
      <w:r w:rsidRPr="00A139A3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A139A3">
        <w:rPr>
          <w:sz w:val="28"/>
          <w:szCs w:val="28"/>
        </w:rPr>
        <w:t>а</w:t>
      </w:r>
      <w:r w:rsidRPr="00A139A3">
        <w:rPr>
          <w:sz w:val="28"/>
          <w:szCs w:val="28"/>
        </w:rPr>
        <w:t xml:space="preserve">жиров и багажа автомобильным транспортом </w:t>
      </w:r>
      <w:r w:rsidRPr="00893944">
        <w:rPr>
          <w:sz w:val="28"/>
          <w:szCs w:val="28"/>
        </w:rPr>
        <w:t xml:space="preserve">по Муниципальным маршрутам </w:t>
      </w:r>
      <w:r w:rsidR="00893944" w:rsidRPr="00893944">
        <w:rPr>
          <w:sz w:val="28"/>
          <w:szCs w:val="28"/>
        </w:rPr>
        <w:t>№ 23 «Янгель – Новая Игирма – Железногорск-Илимский», № 23 А «Железногорск-Илимский – Новая Игирма – Янгель»</w:t>
      </w:r>
      <w:r w:rsidRPr="00893944">
        <w:rPr>
          <w:sz w:val="28"/>
          <w:szCs w:val="28"/>
        </w:rPr>
        <w:t xml:space="preserve"> (по регулируемым тар</w:t>
      </w:r>
      <w:r w:rsidRPr="00893944">
        <w:rPr>
          <w:sz w:val="28"/>
          <w:szCs w:val="28"/>
        </w:rPr>
        <w:t>и</w:t>
      </w:r>
      <w:r w:rsidRPr="00893944">
        <w:rPr>
          <w:sz w:val="28"/>
          <w:szCs w:val="28"/>
        </w:rPr>
        <w:t>фам)</w:t>
      </w:r>
      <w:r w:rsidR="003B1B1F" w:rsidRPr="00893944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893944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80FD4">
        <w:rPr>
          <w:rFonts w:eastAsia="Calibri"/>
          <w:sz w:val="28"/>
          <w:szCs w:val="28"/>
        </w:rPr>
        <w:t xml:space="preserve">Утвердить </w:t>
      </w:r>
      <w:r w:rsidR="002127CA" w:rsidRPr="00A80FD4">
        <w:rPr>
          <w:sz w:val="28"/>
          <w:szCs w:val="28"/>
        </w:rPr>
        <w:t xml:space="preserve">извещение и конкурсную документацию </w:t>
      </w:r>
      <w:r w:rsidR="003F09D8" w:rsidRPr="00A80FD4">
        <w:rPr>
          <w:sz w:val="28"/>
          <w:szCs w:val="28"/>
        </w:rPr>
        <w:t>о проведении о</w:t>
      </w:r>
      <w:r w:rsidR="003F09D8" w:rsidRPr="00A80FD4">
        <w:rPr>
          <w:sz w:val="28"/>
          <w:szCs w:val="28"/>
        </w:rPr>
        <w:t>т</w:t>
      </w:r>
      <w:r w:rsidR="003F09D8" w:rsidRPr="00A80FD4">
        <w:rPr>
          <w:sz w:val="28"/>
          <w:szCs w:val="28"/>
        </w:rPr>
        <w:t xml:space="preserve">крытого </w:t>
      </w:r>
      <w:r w:rsidR="003F09D8" w:rsidRPr="00893944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893944" w:rsidRPr="00893944">
        <w:rPr>
          <w:sz w:val="28"/>
          <w:szCs w:val="28"/>
        </w:rPr>
        <w:t>№ 23 «Янгель – Новая Игирма – Железногорск-Илимский», № 23 А «Железн</w:t>
      </w:r>
      <w:r w:rsidR="00893944" w:rsidRPr="00893944">
        <w:rPr>
          <w:sz w:val="28"/>
          <w:szCs w:val="28"/>
        </w:rPr>
        <w:t>о</w:t>
      </w:r>
      <w:r w:rsidR="00893944" w:rsidRPr="00893944">
        <w:rPr>
          <w:sz w:val="28"/>
          <w:szCs w:val="28"/>
        </w:rPr>
        <w:lastRenderedPageBreak/>
        <w:t>горск-Илимский – Новая Игирма – Янгель»</w:t>
      </w:r>
      <w:r w:rsidR="003F09D8" w:rsidRPr="00893944">
        <w:rPr>
          <w:sz w:val="28"/>
          <w:szCs w:val="28"/>
        </w:rPr>
        <w:t xml:space="preserve"> </w:t>
      </w:r>
      <w:r w:rsidR="00087322" w:rsidRPr="00893944">
        <w:rPr>
          <w:sz w:val="28"/>
          <w:szCs w:val="28"/>
        </w:rPr>
        <w:t>(по регулируемым тарифам)</w:t>
      </w:r>
      <w:r w:rsidR="00213E61" w:rsidRPr="00893944">
        <w:rPr>
          <w:sz w:val="28"/>
          <w:szCs w:val="28"/>
        </w:rPr>
        <w:t xml:space="preserve"> – приложения № 1 и № 2 к настоящему Постановлению.</w:t>
      </w: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</w:t>
      </w:r>
      <w:r w:rsidRPr="00A80FD4">
        <w:rPr>
          <w:sz w:val="28"/>
          <w:szCs w:val="28"/>
        </w:rPr>
        <w:t xml:space="preserve"> </w:t>
      </w:r>
      <w:r w:rsidRPr="00893944">
        <w:rPr>
          <w:sz w:val="28"/>
          <w:szCs w:val="28"/>
        </w:rPr>
        <w:t>пассажиров и багажа автомобильным транспортом по Муниц</w:t>
      </w:r>
      <w:r w:rsidRPr="00893944">
        <w:rPr>
          <w:sz w:val="28"/>
          <w:szCs w:val="28"/>
        </w:rPr>
        <w:t>и</w:t>
      </w:r>
      <w:r w:rsidRPr="00893944">
        <w:rPr>
          <w:sz w:val="28"/>
          <w:szCs w:val="28"/>
        </w:rPr>
        <w:t xml:space="preserve">пальным маршрутам </w:t>
      </w:r>
      <w:r w:rsidR="00893944" w:rsidRPr="00893944">
        <w:rPr>
          <w:sz w:val="28"/>
          <w:szCs w:val="28"/>
        </w:rPr>
        <w:t>№ 23 «Янгель – Новая Игирма – Железногорск-Илимский», № 23 А «Железногорск-Илимский – Новая Игирма – Янгель»</w:t>
      </w:r>
      <w:r w:rsidR="000B101C" w:rsidRPr="00A80FD4">
        <w:rPr>
          <w:sz w:val="28"/>
          <w:szCs w:val="28"/>
        </w:rPr>
        <w:t xml:space="preserve"> </w:t>
      </w:r>
      <w:r w:rsidRPr="00A80FD4">
        <w:rPr>
          <w:sz w:val="28"/>
          <w:szCs w:val="28"/>
        </w:rPr>
        <w:t>(по регулируемым тарифам).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93DC4" w:rsidRPr="00C93DC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Pr="00C93DC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4F6649" w:rsidRPr="001E1C58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lastRenderedPageBreak/>
        <w:t>Приложение № 1</w:t>
      </w:r>
    </w:p>
    <w:p w:rsidR="004F6649" w:rsidRPr="001E1C58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4F6649" w:rsidRPr="001E1C58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1E1C58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4F6649" w:rsidRDefault="004F6649" w:rsidP="004F6649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760 от «04» октября 2016 г.</w:t>
      </w:r>
    </w:p>
    <w:p w:rsidR="004F6649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4F6649" w:rsidRPr="00F86C96" w:rsidRDefault="004F6649" w:rsidP="004F6649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F86C96">
        <w:rPr>
          <w:b/>
        </w:rPr>
        <w:t>ИЗВЕЩЕНИЕ</w:t>
      </w:r>
    </w:p>
    <w:p w:rsidR="004F6649" w:rsidRPr="00411C67" w:rsidRDefault="004F6649" w:rsidP="004F6649">
      <w:pPr>
        <w:pStyle w:val="a3"/>
        <w:tabs>
          <w:tab w:val="left" w:pos="851"/>
        </w:tabs>
        <w:ind w:firstLine="426"/>
        <w:jc w:val="center"/>
      </w:pPr>
      <w:r w:rsidRPr="00411C67">
        <w:t xml:space="preserve">о проведении открытого конкурса на право оказания услуг регулярных </w:t>
      </w:r>
    </w:p>
    <w:p w:rsidR="004F6649" w:rsidRPr="00411C67" w:rsidRDefault="004F6649" w:rsidP="004F6649">
      <w:pPr>
        <w:pStyle w:val="a3"/>
        <w:tabs>
          <w:tab w:val="left" w:pos="851"/>
        </w:tabs>
        <w:ind w:firstLine="426"/>
        <w:jc w:val="center"/>
      </w:pPr>
      <w:r w:rsidRPr="00411C67">
        <w:t xml:space="preserve">перевозок пассажиров и багажа автомобильным транспортом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center"/>
      </w:pPr>
      <w:r w:rsidRPr="00411C67">
        <w:t xml:space="preserve">по Муниципальным маршрутам </w:t>
      </w:r>
      <w:r>
        <w:t>№ 23 «Янгель – Новая Игирма – Железн</w:t>
      </w:r>
      <w:r>
        <w:t>о</w:t>
      </w:r>
      <w:r>
        <w:t>горск-Илимский», № 23 А «Железногорск-Илимский – Новая Игирма – Янгель»</w:t>
      </w:r>
      <w:r w:rsidRPr="00411C67">
        <w:t xml:space="preserve">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center"/>
      </w:pPr>
      <w:r w:rsidRPr="00411C67">
        <w:t>(по регулируемым тарифам).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center"/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4F6649" w:rsidRDefault="004F6649" w:rsidP="004F6649">
      <w:pPr>
        <w:pStyle w:val="a3"/>
        <w:ind w:firstLine="709"/>
      </w:pPr>
      <w:r w:rsidRPr="007C5778">
        <w:t>№ 23 «Янгель – Новая Игирма – Железногорск-Илимский</w:t>
      </w:r>
      <w:r>
        <w:t>»;</w:t>
      </w:r>
    </w:p>
    <w:p w:rsidR="004F6649" w:rsidRDefault="004F6649" w:rsidP="004F6649">
      <w:pPr>
        <w:pStyle w:val="a3"/>
        <w:ind w:firstLine="709"/>
      </w:pPr>
      <w:r w:rsidRPr="007C5778">
        <w:t>№ 23 А «Железногорск-Илимский – Новая Игирма –</w:t>
      </w:r>
      <w:r>
        <w:t xml:space="preserve"> </w:t>
      </w:r>
      <w:r w:rsidRPr="007C5778">
        <w:t>Янгель»</w:t>
      </w:r>
    </w:p>
    <w:p w:rsidR="004F6649" w:rsidRPr="007C5778" w:rsidRDefault="004F6649" w:rsidP="004F6649">
      <w:pPr>
        <w:pStyle w:val="a3"/>
        <w:ind w:firstLine="709"/>
      </w:pPr>
      <w:r w:rsidRPr="007C5778">
        <w:t xml:space="preserve">    (далее – Муниципальные маршруты).</w:t>
      </w:r>
    </w:p>
    <w:p w:rsidR="004F6649" w:rsidRPr="00A24BD1" w:rsidRDefault="004F6649" w:rsidP="004F6649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4F6649" w:rsidRPr="00D2225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EC634E">
        <w:t>№ 23 «Янгель – Новая Игирма – Железногорск-Илимский», № 23 А «Ж</w:t>
      </w:r>
      <w:r w:rsidRPr="00EC634E">
        <w:t>е</w:t>
      </w:r>
      <w:r w:rsidRPr="00EC634E">
        <w:t>лезногорск-Илимский – Новая Игирма –</w:t>
      </w:r>
      <w:r>
        <w:t xml:space="preserve"> </w:t>
      </w:r>
      <w:r w:rsidRPr="00EC634E">
        <w:t>Янгель»</w:t>
      </w:r>
      <w:r>
        <w:t xml:space="preserve"> (далее – Муниципальный ко</w:t>
      </w:r>
      <w:r>
        <w:t>н</w:t>
      </w:r>
      <w:r>
        <w:t>тракт).</w:t>
      </w:r>
    </w:p>
    <w:p w:rsidR="004F6649" w:rsidRPr="00A24BD1" w:rsidRDefault="004F6649" w:rsidP="004F6649">
      <w:pPr>
        <w:pStyle w:val="a3"/>
        <w:rPr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4F6649" w:rsidRPr="000C6B8C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lastRenderedPageBreak/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4F6649" w:rsidRPr="00A70686" w:rsidRDefault="004F6649" w:rsidP="004F6649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4F6649" w:rsidRPr="00A24BD1" w:rsidRDefault="004F6649" w:rsidP="004F6649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4F6649" w:rsidRPr="00365075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4F6649" w:rsidRPr="00A24BD1" w:rsidRDefault="004F6649" w:rsidP="004F6649">
      <w:pPr>
        <w:pStyle w:val="a3"/>
        <w:ind w:firstLine="567"/>
        <w:jc w:val="both"/>
        <w:rPr>
          <w:sz w:val="10"/>
          <w:szCs w:val="10"/>
        </w:rPr>
      </w:pPr>
    </w:p>
    <w:p w:rsidR="004F6649" w:rsidRPr="00B71BB2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4F6649" w:rsidRPr="00A24BD1" w:rsidRDefault="004F6649" w:rsidP="004F6649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4F6649" w:rsidRPr="00D64E2A" w:rsidRDefault="004F6649" w:rsidP="004F6649">
      <w:pPr>
        <w:pStyle w:val="a3"/>
        <w:ind w:firstLine="426"/>
        <w:jc w:val="both"/>
        <w:rPr>
          <w:color w:val="FF0000"/>
          <w:u w:val="single"/>
        </w:rPr>
      </w:pPr>
      <w:r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4F6649" w:rsidRPr="00A24BD1" w:rsidRDefault="004F6649" w:rsidP="004F6649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4F6649" w:rsidRPr="005D2998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4F6649" w:rsidRDefault="004F6649" w:rsidP="004F6649">
      <w:pPr>
        <w:pStyle w:val="a3"/>
        <w:tabs>
          <w:tab w:val="left" w:pos="851"/>
        </w:tabs>
        <w:ind w:left="426"/>
        <w:jc w:val="both"/>
        <w:rPr>
          <w:b/>
        </w:rPr>
      </w:pPr>
    </w:p>
    <w:p w:rsidR="004F6649" w:rsidRPr="005D2998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5D2998"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4F6649" w:rsidRDefault="004F6649" w:rsidP="004C0520">
      <w:pPr>
        <w:spacing w:after="0" w:line="240" w:lineRule="auto"/>
        <w:rPr>
          <w:b/>
        </w:rPr>
      </w:pPr>
    </w:p>
    <w:p w:rsidR="004F6649" w:rsidRDefault="004F6649" w:rsidP="004C0520">
      <w:pPr>
        <w:spacing w:after="0" w:line="240" w:lineRule="auto"/>
        <w:rPr>
          <w:b/>
        </w:rPr>
      </w:pPr>
    </w:p>
    <w:p w:rsidR="004F6649" w:rsidRDefault="004F6649" w:rsidP="004C0520">
      <w:pPr>
        <w:spacing w:after="0" w:line="240" w:lineRule="auto"/>
        <w:rPr>
          <w:b/>
        </w:rPr>
      </w:pPr>
    </w:p>
    <w:p w:rsidR="004F6649" w:rsidRDefault="004F6649" w:rsidP="004C0520">
      <w:pPr>
        <w:spacing w:after="0" w:line="240" w:lineRule="auto"/>
        <w:rPr>
          <w:b/>
        </w:rPr>
      </w:pPr>
    </w:p>
    <w:p w:rsidR="004F6649" w:rsidRPr="006A3E82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4F6649" w:rsidRPr="006A3E82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4F6649" w:rsidRPr="006A3E82" w:rsidRDefault="004F6649" w:rsidP="004F664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4F6649" w:rsidRDefault="004F6649" w:rsidP="004F6649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№ 760 от «04» октября 2016 г.</w:t>
      </w:r>
    </w:p>
    <w:p w:rsidR="004F6649" w:rsidRDefault="004F6649" w:rsidP="004F6649">
      <w:pPr>
        <w:pStyle w:val="a3"/>
        <w:tabs>
          <w:tab w:val="left" w:pos="851"/>
        </w:tabs>
        <w:jc w:val="right"/>
        <w:rPr>
          <w:b/>
        </w:rPr>
      </w:pPr>
    </w:p>
    <w:p w:rsidR="004F6649" w:rsidRDefault="004F6649" w:rsidP="004F6649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4F6649" w:rsidRPr="00EC634E" w:rsidRDefault="004F6649" w:rsidP="004F6649">
      <w:pPr>
        <w:pStyle w:val="a3"/>
        <w:jc w:val="center"/>
      </w:pPr>
      <w:r w:rsidRPr="00EC634E">
        <w:t>на проведение открытого конкурса на право оказания услуг регулярных</w:t>
      </w:r>
    </w:p>
    <w:p w:rsidR="004F6649" w:rsidRPr="00EC634E" w:rsidRDefault="004F6649" w:rsidP="004F6649">
      <w:pPr>
        <w:pStyle w:val="a3"/>
        <w:jc w:val="center"/>
      </w:pPr>
      <w:r w:rsidRPr="00EC634E">
        <w:t>перевозок пассажиров и багажа автомобильным транспортом</w:t>
      </w:r>
    </w:p>
    <w:p w:rsidR="004F6649" w:rsidRDefault="004F6649" w:rsidP="004F6649">
      <w:pPr>
        <w:pStyle w:val="a3"/>
        <w:jc w:val="center"/>
      </w:pPr>
      <w:r w:rsidRPr="00EC634E">
        <w:t>по Муниципальным маршрутам № 23 «Янгель – Новая Игирма – Железногорск-Илимский», № 23 А «Железногорск-Илимский – Новая Игирма –</w:t>
      </w:r>
      <w:r>
        <w:t xml:space="preserve"> </w:t>
      </w:r>
      <w:r w:rsidRPr="00EC634E">
        <w:t>Янгель»</w:t>
      </w:r>
    </w:p>
    <w:p w:rsidR="004F6649" w:rsidRPr="00EC634E" w:rsidRDefault="004F6649" w:rsidP="004F6649">
      <w:pPr>
        <w:pStyle w:val="a3"/>
        <w:jc w:val="center"/>
      </w:pPr>
      <w:r w:rsidRPr="00EC634E">
        <w:t>(по регулируемым тарифам).</w:t>
      </w:r>
    </w:p>
    <w:p w:rsidR="004F6649" w:rsidRPr="0076083F" w:rsidRDefault="004F6649" w:rsidP="004F6649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4F6649" w:rsidRPr="00A64966" w:rsidRDefault="004F6649" w:rsidP="004F6649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</w:t>
      </w:r>
      <w:r>
        <w:t>ые акты Российской Федерации», З</w:t>
      </w:r>
      <w:r w:rsidRPr="00A64966">
        <w:t>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4F6649" w:rsidRPr="0076083F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4F6649" w:rsidRDefault="004F6649" w:rsidP="004F6649">
      <w:pPr>
        <w:pStyle w:val="a3"/>
        <w:ind w:firstLine="709"/>
      </w:pPr>
      <w:r w:rsidRPr="007C5778">
        <w:t>№ 23 «Янгель – Новая Игирма – Железногорск-Илимский</w:t>
      </w:r>
      <w:r>
        <w:t>»;</w:t>
      </w:r>
    </w:p>
    <w:p w:rsidR="004F6649" w:rsidRDefault="004F6649" w:rsidP="004F6649">
      <w:pPr>
        <w:pStyle w:val="a3"/>
        <w:ind w:firstLine="709"/>
      </w:pPr>
      <w:r w:rsidRPr="007C5778">
        <w:t>№ 23 А «Железногорск-Илимский – Новая Игирма –</w:t>
      </w:r>
      <w:r>
        <w:t xml:space="preserve"> </w:t>
      </w:r>
      <w:r w:rsidRPr="007C5778">
        <w:t>Янгель»</w:t>
      </w:r>
    </w:p>
    <w:p w:rsidR="004F6649" w:rsidRPr="007C5778" w:rsidRDefault="004F6649" w:rsidP="004F6649">
      <w:pPr>
        <w:pStyle w:val="a3"/>
        <w:ind w:firstLine="709"/>
      </w:pPr>
      <w:r w:rsidRPr="007C5778">
        <w:t xml:space="preserve">    (далее – Муниципальные маршруты).</w:t>
      </w:r>
    </w:p>
    <w:p w:rsidR="004F6649" w:rsidRPr="00A24BD1" w:rsidRDefault="004F6649" w:rsidP="004F6649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4F6649" w:rsidRDefault="004F6649" w:rsidP="004F664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4F6649" w:rsidRPr="00D2225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EC634E">
        <w:t>№ 23 «Янгель – Новая Игирма – Железногорск-Илимский», № 23 А «Ж</w:t>
      </w:r>
      <w:r w:rsidRPr="00EC634E">
        <w:t>е</w:t>
      </w:r>
      <w:r w:rsidRPr="00EC634E">
        <w:lastRenderedPageBreak/>
        <w:t>лезногорск-Илимский – Новая Игирма –</w:t>
      </w:r>
      <w:r>
        <w:t xml:space="preserve"> </w:t>
      </w:r>
      <w:r w:rsidRPr="00EC634E">
        <w:t>Янгель»</w:t>
      </w:r>
      <w:r>
        <w:t xml:space="preserve"> (далее – Муниципальный ко</w:t>
      </w:r>
      <w:r>
        <w:t>н</w:t>
      </w:r>
      <w:r>
        <w:t>тракт).</w:t>
      </w:r>
    </w:p>
    <w:p w:rsidR="004F6649" w:rsidRPr="00A24BD1" w:rsidRDefault="004F6649" w:rsidP="004F6649">
      <w:pPr>
        <w:pStyle w:val="a3"/>
        <w:rPr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4F6649" w:rsidRPr="000C6B8C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4F6649" w:rsidRPr="00A70686" w:rsidRDefault="004F6649" w:rsidP="004F6649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07.10.2016 года по 24.10.2016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4F6649" w:rsidRDefault="004F6649" w:rsidP="004F6649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4F6649" w:rsidRPr="00A24BD1" w:rsidRDefault="004F6649" w:rsidP="004F6649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4F6649" w:rsidRPr="00365075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4F6649" w:rsidRPr="00A24BD1" w:rsidRDefault="004F6649" w:rsidP="004F6649">
      <w:pPr>
        <w:pStyle w:val="a3"/>
        <w:ind w:firstLine="567"/>
        <w:jc w:val="both"/>
        <w:rPr>
          <w:sz w:val="10"/>
          <w:szCs w:val="10"/>
        </w:rPr>
      </w:pPr>
    </w:p>
    <w:p w:rsidR="004F6649" w:rsidRPr="00B71BB2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4F6649" w:rsidRPr="00A24BD1" w:rsidRDefault="004F6649" w:rsidP="004F6649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4F6649" w:rsidRPr="00D64E2A" w:rsidRDefault="004F6649" w:rsidP="004F6649">
      <w:pPr>
        <w:pStyle w:val="a3"/>
        <w:ind w:firstLine="426"/>
        <w:jc w:val="both"/>
        <w:rPr>
          <w:color w:val="FF0000"/>
          <w:u w:val="single"/>
        </w:rPr>
      </w:pPr>
      <w:r>
        <w:lastRenderedPageBreak/>
        <w:t xml:space="preserve">Начало срока подачи заявок: </w:t>
      </w:r>
      <w:r>
        <w:rPr>
          <w:color w:val="FF0000"/>
          <w:u w:val="single"/>
        </w:rPr>
        <w:t>07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с 09 часов 00 минут.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 xml:space="preserve">Окончание срока подачи заявок: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до 1</w:t>
      </w:r>
      <w:r>
        <w:rPr>
          <w:color w:val="FF0000"/>
          <w:u w:val="single"/>
        </w:rPr>
        <w:t>2</w:t>
      </w:r>
      <w:r w:rsidRPr="00D64E2A">
        <w:rPr>
          <w:color w:val="FF0000"/>
          <w:u w:val="single"/>
        </w:rPr>
        <w:t xml:space="preserve"> часов 00 минут.</w:t>
      </w:r>
    </w:p>
    <w:p w:rsidR="004F6649" w:rsidRPr="00A24BD1" w:rsidRDefault="004F6649" w:rsidP="004F6649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27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10</w:t>
      </w:r>
      <w:r w:rsidRPr="00D64E2A">
        <w:rPr>
          <w:color w:val="FF0000"/>
          <w:u w:val="single"/>
        </w:rPr>
        <w:t>.2016 года в  12 часов 00 минут.</w:t>
      </w:r>
    </w:p>
    <w:p w:rsidR="004F6649" w:rsidRPr="00A24BD1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4F6649" w:rsidRDefault="004F6649" w:rsidP="004F6649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4F6649" w:rsidRPr="00A115CE" w:rsidRDefault="004F6649" w:rsidP="004F6649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4F6649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4F6649" w:rsidRDefault="004F6649" w:rsidP="004F6649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4F6649" w:rsidRPr="00A63A73" w:rsidRDefault="004F6649" w:rsidP="004F6649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4F6649" w:rsidRPr="00060AE5" w:rsidRDefault="004F6649" w:rsidP="004F6649">
      <w:pPr>
        <w:pStyle w:val="a3"/>
        <w:ind w:firstLine="426"/>
      </w:pPr>
      <w:r w:rsidRPr="00060AE5">
        <w:t>Заявка должна быть написана на русском языке.</w:t>
      </w:r>
    </w:p>
    <w:p w:rsidR="004F6649" w:rsidRPr="00060AE5" w:rsidRDefault="004F6649" w:rsidP="004F6649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4F6649" w:rsidRPr="00D55A95" w:rsidRDefault="004F6649" w:rsidP="004F6649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4F6649" w:rsidRPr="00A115CE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4F6649" w:rsidRDefault="004F6649" w:rsidP="004F6649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4F6649" w:rsidRPr="009145D0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842"/>
        <w:gridCol w:w="851"/>
      </w:tblGrid>
      <w:tr w:rsidR="004F6649" w:rsidRPr="00594EB1" w:rsidTr="00081DEA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4F6649" w:rsidRPr="009145D0" w:rsidRDefault="004F6649" w:rsidP="00081DE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6649" w:rsidRPr="009145D0" w:rsidRDefault="004F6649" w:rsidP="00081DEA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F6649" w:rsidRPr="009145D0" w:rsidRDefault="004F6649" w:rsidP="00081DE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6649" w:rsidRPr="009145D0" w:rsidRDefault="004F6649" w:rsidP="00081DEA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зок или наименования посел</w:t>
            </w:r>
            <w:r w:rsidRPr="009145D0">
              <w:rPr>
                <w:b/>
                <w:sz w:val="18"/>
                <w:szCs w:val="18"/>
              </w:rPr>
              <w:t>е</w:t>
            </w:r>
            <w:r w:rsidRPr="009145D0">
              <w:rPr>
                <w:b/>
                <w:sz w:val="18"/>
                <w:szCs w:val="18"/>
              </w:rPr>
              <w:t>ний, в границах которых ра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положены промежуточные о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F6649" w:rsidRPr="009145D0" w:rsidRDefault="004F6649" w:rsidP="00081DEA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649" w:rsidRPr="009145D0" w:rsidRDefault="004F6649" w:rsidP="00081DEA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тяже</w:t>
            </w:r>
            <w:r w:rsidRPr="009145D0">
              <w:rPr>
                <w:b/>
                <w:sz w:val="18"/>
                <w:szCs w:val="18"/>
              </w:rPr>
              <w:t>н</w:t>
            </w:r>
            <w:r w:rsidRPr="009145D0">
              <w:rPr>
                <w:b/>
                <w:sz w:val="18"/>
                <w:szCs w:val="18"/>
              </w:rPr>
              <w:t>ность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шрута</w:t>
            </w:r>
          </w:p>
        </w:tc>
      </w:tr>
      <w:tr w:rsidR="004F6649" w:rsidRPr="00594EB1" w:rsidTr="00081DEA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4F6649" w:rsidRPr="00591CFB" w:rsidRDefault="004F6649" w:rsidP="00081DEA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Янгель – Новая Игирма – Железногорск-Илимский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Янгель</w:t>
            </w:r>
            <w:r>
              <w:rPr>
                <w:sz w:val="22"/>
                <w:szCs w:val="22"/>
              </w:rPr>
              <w:br/>
              <w:t>п. Новая Игирма</w:t>
            </w:r>
            <w:r>
              <w:rPr>
                <w:sz w:val="22"/>
                <w:szCs w:val="22"/>
              </w:rPr>
              <w:br/>
            </w:r>
            <w:r w:rsidRPr="00161F2B">
              <w:rPr>
                <w:sz w:val="22"/>
                <w:szCs w:val="22"/>
              </w:rPr>
              <w:t>г. Железногорск-Илимский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145,18</w:t>
            </w:r>
          </w:p>
        </w:tc>
      </w:tr>
      <w:tr w:rsidR="004F6649" w:rsidRPr="00594EB1" w:rsidTr="00081DEA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4F6649" w:rsidRPr="00591CFB" w:rsidRDefault="004F6649" w:rsidP="00081DEA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23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 xml:space="preserve">Железногорск-Илимский – Новая Игирма – </w:t>
            </w:r>
          </w:p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Янгель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г. Железногорск-Илимский</w:t>
            </w:r>
            <w:r w:rsidRPr="00161F2B">
              <w:rPr>
                <w:sz w:val="22"/>
                <w:szCs w:val="22"/>
              </w:rPr>
              <w:br/>
              <w:t>п. Новая Игирма</w:t>
            </w:r>
            <w:r w:rsidRPr="00161F2B">
              <w:rPr>
                <w:sz w:val="22"/>
                <w:szCs w:val="22"/>
              </w:rPr>
              <w:br/>
              <w:t>п. Янгель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144,28</w:t>
            </w:r>
          </w:p>
        </w:tc>
      </w:tr>
    </w:tbl>
    <w:p w:rsidR="004F6649" w:rsidRPr="005B2363" w:rsidRDefault="004F6649" w:rsidP="004F6649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4F6649" w:rsidRPr="00383354" w:rsidRDefault="004F6649" w:rsidP="004F6649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4F6649" w:rsidRPr="001F00BE" w:rsidRDefault="004F6649" w:rsidP="004F6649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4F6649" w:rsidRDefault="004F6649" w:rsidP="004F6649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4F6649" w:rsidRPr="00604652" w:rsidRDefault="004F6649" w:rsidP="004F6649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4F6649" w:rsidRPr="00570DD8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4F6649" w:rsidRPr="00936BA7" w:rsidTr="00081DEA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4F6649" w:rsidRPr="00936BA7" w:rsidRDefault="004F6649" w:rsidP="00081DE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649" w:rsidRPr="00936BA7" w:rsidRDefault="004F6649" w:rsidP="00081D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6649" w:rsidRPr="00936BA7" w:rsidRDefault="004F6649" w:rsidP="00081D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F6649" w:rsidRPr="00936BA7" w:rsidRDefault="004F6649" w:rsidP="00081DE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4F6649" w:rsidRPr="00936BA7" w:rsidTr="00081DEA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4F6649" w:rsidRPr="005A52F3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Янгель –</w:t>
            </w:r>
          </w:p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Новая Игирма –</w:t>
            </w:r>
          </w:p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F6649" w:rsidRPr="0090684A" w:rsidRDefault="004F6649" w:rsidP="00081DEA">
            <w:pPr>
              <w:pStyle w:val="a3"/>
              <w:jc w:val="both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Автомобильные дороги общего пользования местного значения Янг</w:t>
            </w:r>
            <w:r w:rsidRPr="0090684A">
              <w:rPr>
                <w:sz w:val="22"/>
                <w:szCs w:val="22"/>
              </w:rPr>
              <w:t>е</w:t>
            </w:r>
            <w:r w:rsidRPr="0090684A">
              <w:rPr>
                <w:sz w:val="22"/>
                <w:szCs w:val="22"/>
              </w:rPr>
              <w:t>левского ГП: ул. «Центральная», ул. Транспортная; областные (прочие) автомобильные дороги общего пользования Иркутской области: "Под</w:t>
            </w:r>
            <w:r w:rsidRPr="0090684A">
              <w:rPr>
                <w:sz w:val="22"/>
                <w:szCs w:val="22"/>
              </w:rPr>
              <w:t>ъ</w:t>
            </w:r>
            <w:r w:rsidRPr="0090684A">
              <w:rPr>
                <w:sz w:val="22"/>
                <w:szCs w:val="22"/>
              </w:rPr>
              <w:t>езд к п.Янгель", "Хребтовая – Рудногорск – Новоилимск", "Подъезд к пгт. Новая Игирма"; автомобильные дороги общего пользования мес</w:t>
            </w:r>
            <w:r w:rsidRPr="0090684A">
              <w:rPr>
                <w:sz w:val="22"/>
                <w:szCs w:val="22"/>
              </w:rPr>
              <w:t>т</w:t>
            </w:r>
            <w:r w:rsidRPr="0090684A">
              <w:rPr>
                <w:sz w:val="22"/>
                <w:szCs w:val="22"/>
              </w:rPr>
              <w:t>ного значения Новоигирменского ГП: ул. Гагарина, ул. Транспортная, ул. Кильдерова, ул. Гагарина, Иркутский переулок, ул. Центральный проезд, ул. Гагарина; областные (прочие) автомобильные дороги общего пользования Иркутской области: "Подъезд к пгт. Новая Игирма"; "Хребтовая – Рудногорск – Новоилимск"; областная автомобильная д</w:t>
            </w:r>
            <w:r w:rsidRPr="0090684A">
              <w:rPr>
                <w:sz w:val="22"/>
                <w:szCs w:val="22"/>
              </w:rPr>
              <w:t>о</w:t>
            </w:r>
            <w:r w:rsidRPr="0090684A">
              <w:rPr>
                <w:sz w:val="22"/>
                <w:szCs w:val="22"/>
              </w:rPr>
              <w:t>рога общего пользования регионального значения Иркутской области: ""Вилюй" – Железногорск-Илимский"; автомобильные дороги общего пользования местного значения Железногорск-Илимского ГП: ул. Транспортная, ул. Радищева, ул. Янгеля, ул. Строителей.</w:t>
            </w:r>
          </w:p>
        </w:tc>
      </w:tr>
      <w:tr w:rsidR="004F6649" w:rsidRPr="00936BA7" w:rsidTr="00081DEA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4F6649" w:rsidRPr="005A52F3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23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Железногорск-Илимский –</w:t>
            </w:r>
          </w:p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Новая Игирма –</w:t>
            </w:r>
          </w:p>
          <w:p w:rsidR="004F6649" w:rsidRPr="0090684A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Янгель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4F6649" w:rsidRPr="0090684A" w:rsidRDefault="004F6649" w:rsidP="00081DEA">
            <w:pPr>
              <w:pStyle w:val="a3"/>
              <w:jc w:val="both"/>
              <w:rPr>
                <w:sz w:val="22"/>
                <w:szCs w:val="22"/>
              </w:rPr>
            </w:pPr>
            <w:r w:rsidRPr="0090684A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90684A">
              <w:rPr>
                <w:sz w:val="22"/>
                <w:szCs w:val="22"/>
              </w:rPr>
              <w:t>з</w:t>
            </w:r>
            <w:r w:rsidRPr="0090684A">
              <w:rPr>
                <w:sz w:val="22"/>
                <w:szCs w:val="22"/>
              </w:rPr>
              <w:t>ногорск-Илимского ГП: ул. Строителей, ул. Иващенко, ул. Транспор</w:t>
            </w:r>
            <w:r w:rsidRPr="0090684A">
              <w:rPr>
                <w:sz w:val="22"/>
                <w:szCs w:val="22"/>
              </w:rPr>
              <w:t>т</w:t>
            </w:r>
            <w:r w:rsidRPr="0090684A">
              <w:rPr>
                <w:sz w:val="22"/>
                <w:szCs w:val="22"/>
              </w:rPr>
              <w:t>ная;</w:t>
            </w:r>
            <w:r>
              <w:rPr>
                <w:sz w:val="22"/>
                <w:szCs w:val="22"/>
              </w:rPr>
              <w:t xml:space="preserve"> </w:t>
            </w:r>
            <w:r w:rsidRPr="0090684A">
              <w:rPr>
                <w:sz w:val="22"/>
                <w:szCs w:val="22"/>
              </w:rPr>
              <w:t>областная автомобильная дорога общего пользования региональн</w:t>
            </w:r>
            <w:r w:rsidRPr="0090684A">
              <w:rPr>
                <w:sz w:val="22"/>
                <w:szCs w:val="22"/>
              </w:rPr>
              <w:t>о</w:t>
            </w:r>
            <w:r w:rsidRPr="0090684A">
              <w:rPr>
                <w:sz w:val="22"/>
                <w:szCs w:val="22"/>
              </w:rPr>
              <w:t>го значения Иркутской области: ""Вилюй" – Железногорск-Илимский"; областные (прочие) автомобильные дороги общего пользования Ирку</w:t>
            </w:r>
            <w:r w:rsidRPr="0090684A">
              <w:rPr>
                <w:sz w:val="22"/>
                <w:szCs w:val="22"/>
              </w:rPr>
              <w:t>т</w:t>
            </w:r>
            <w:r w:rsidRPr="0090684A">
              <w:rPr>
                <w:sz w:val="22"/>
                <w:szCs w:val="22"/>
              </w:rPr>
              <w:t>ской области: "Подъезд к пгт. Новая Игирма"; "Хребтовая – Рудногорск – Новоилимск"; автомобильные дороги общего пользования местного значения Новоигирменского ГП: ул. Гагарина, ул. Транспортная, ул. Кильдерова, ул. Гагарина, Иркутский переулок, ул. Центральный пр</w:t>
            </w:r>
            <w:r w:rsidRPr="0090684A">
              <w:rPr>
                <w:sz w:val="22"/>
                <w:szCs w:val="22"/>
              </w:rPr>
              <w:t>о</w:t>
            </w:r>
            <w:r w:rsidRPr="0090684A">
              <w:rPr>
                <w:sz w:val="22"/>
                <w:szCs w:val="22"/>
              </w:rPr>
              <w:t>езд, ул. Гагарина; областные (прочие) автомобильные дороги общего пользования Иркутской области: "Подъезд к п.Янгель", "Хребтовая – Рудногорск – Новоилимск", "Подъезд к пгт. Новая Игирма"; автом</w:t>
            </w:r>
            <w:r w:rsidRPr="0090684A">
              <w:rPr>
                <w:sz w:val="22"/>
                <w:szCs w:val="22"/>
              </w:rPr>
              <w:t>о</w:t>
            </w:r>
            <w:r w:rsidRPr="0090684A">
              <w:rPr>
                <w:sz w:val="22"/>
                <w:szCs w:val="22"/>
              </w:rPr>
              <w:t>бильные дороги общего пользования местного значения Янгелевского ГП: ул. «Центральная», ул. Транспортная.</w:t>
            </w:r>
          </w:p>
        </w:tc>
      </w:tr>
    </w:tbl>
    <w:p w:rsidR="004F6649" w:rsidRPr="00A115CE" w:rsidRDefault="004F6649" w:rsidP="004F664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4F6649" w:rsidRDefault="004F6649" w:rsidP="004F664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4F6649" w:rsidRPr="00C3500C" w:rsidRDefault="004F6649" w:rsidP="004F664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4F6649" w:rsidRPr="006F362F" w:rsidRDefault="004F6649" w:rsidP="004F664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84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  <w:gridCol w:w="992"/>
      </w:tblGrid>
      <w:tr w:rsidR="004F6649" w:rsidRPr="00C3500C" w:rsidTr="00081DEA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4F6649" w:rsidRPr="00C3500C" w:rsidRDefault="004F6649" w:rsidP="00081DEA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4F6649" w:rsidRPr="00C3500C" w:rsidRDefault="004F6649" w:rsidP="00081DEA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6649" w:rsidRPr="00C3500C" w:rsidRDefault="004F6649" w:rsidP="00081DE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4F6649" w:rsidRPr="00C3500C" w:rsidRDefault="004F6649" w:rsidP="00081DE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4F6649" w:rsidRPr="00C3500C" w:rsidRDefault="004F6649" w:rsidP="00081DE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4F6649" w:rsidRPr="002E7718" w:rsidRDefault="004F6649" w:rsidP="00081DEA">
            <w:pPr>
              <w:ind w:left="113" w:right="113"/>
              <w:rPr>
                <w:sz w:val="16"/>
                <w:szCs w:val="16"/>
              </w:rPr>
            </w:pPr>
            <w:r w:rsidRPr="002E7718">
              <w:rPr>
                <w:sz w:val="16"/>
                <w:szCs w:val="16"/>
              </w:rPr>
              <w:t>Время отправления от начального ост</w:t>
            </w:r>
            <w:r w:rsidRPr="002E7718">
              <w:rPr>
                <w:sz w:val="16"/>
                <w:szCs w:val="16"/>
              </w:rPr>
              <w:t>а</w:t>
            </w:r>
            <w:r w:rsidRPr="002E7718">
              <w:rPr>
                <w:sz w:val="16"/>
                <w:szCs w:val="16"/>
              </w:rPr>
              <w:t>новочного пункта</w:t>
            </w:r>
          </w:p>
        </w:tc>
        <w:tc>
          <w:tcPr>
            <w:tcW w:w="992" w:type="dxa"/>
            <w:textDirection w:val="btLr"/>
            <w:vAlign w:val="center"/>
          </w:tcPr>
          <w:p w:rsidR="004F6649" w:rsidRPr="002E7718" w:rsidRDefault="004F6649" w:rsidP="00081DEA">
            <w:pPr>
              <w:pStyle w:val="ConsPlusNormal"/>
              <w:tabs>
                <w:tab w:val="left" w:pos="1701"/>
                <w:tab w:val="left" w:pos="1843"/>
              </w:tabs>
              <w:ind w:left="113" w:right="113" w:firstLine="0"/>
              <w:rPr>
                <w:sz w:val="16"/>
                <w:szCs w:val="16"/>
              </w:rPr>
            </w:pPr>
            <w:r w:rsidRPr="002E7718">
              <w:rPr>
                <w:rFonts w:ascii="Times New Roman" w:hAnsi="Times New Roman" w:cs="Times New Roman"/>
                <w:sz w:val="16"/>
                <w:szCs w:val="16"/>
              </w:rPr>
              <w:t>Время (или интервал времени) приб</w:t>
            </w:r>
            <w:r w:rsidRPr="002E771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2E7718">
              <w:rPr>
                <w:rFonts w:ascii="Times New Roman" w:hAnsi="Times New Roman" w:cs="Times New Roman"/>
                <w:sz w:val="16"/>
                <w:szCs w:val="16"/>
              </w:rPr>
              <w:t>тия/отправления в/из промежуточных о</w:t>
            </w:r>
            <w:r w:rsidRPr="002E771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E7718">
              <w:rPr>
                <w:rFonts w:ascii="Times New Roman" w:hAnsi="Times New Roman" w:cs="Times New Roman"/>
                <w:sz w:val="16"/>
                <w:szCs w:val="16"/>
              </w:rPr>
              <w:t>тановочных пунктов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4F6649" w:rsidRPr="002E7718" w:rsidRDefault="004F6649" w:rsidP="00081DEA">
            <w:pPr>
              <w:ind w:left="113" w:right="113"/>
              <w:rPr>
                <w:sz w:val="16"/>
                <w:szCs w:val="16"/>
              </w:rPr>
            </w:pPr>
            <w:r w:rsidRPr="002E7718">
              <w:rPr>
                <w:sz w:val="16"/>
                <w:szCs w:val="16"/>
              </w:rPr>
              <w:t>Время прибытия в конечный остан</w:t>
            </w:r>
            <w:r w:rsidRPr="002E7718">
              <w:rPr>
                <w:sz w:val="16"/>
                <w:szCs w:val="16"/>
              </w:rPr>
              <w:t>о</w:t>
            </w:r>
            <w:r w:rsidRPr="002E7718">
              <w:rPr>
                <w:sz w:val="16"/>
                <w:szCs w:val="16"/>
              </w:rPr>
              <w:t>вочный пункт</w:t>
            </w:r>
          </w:p>
        </w:tc>
      </w:tr>
      <w:tr w:rsidR="004F6649" w:rsidRPr="00C3500C" w:rsidTr="00081DEA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Янгель – Новая Игирма – Железногорск-Илимский</w:t>
            </w:r>
          </w:p>
        </w:tc>
        <w:tc>
          <w:tcPr>
            <w:tcW w:w="1985" w:type="dxa"/>
            <w:vAlign w:val="center"/>
          </w:tcPr>
          <w:p w:rsidR="004F6649" w:rsidRPr="00124BE8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 xml:space="preserve">ежедневно, </w:t>
            </w:r>
          </w:p>
          <w:p w:rsidR="004F6649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 xml:space="preserve">за исключением субботы, </w:t>
            </w:r>
          </w:p>
          <w:p w:rsidR="004F6649" w:rsidRPr="00124BE8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воскресенья</w:t>
            </w:r>
            <w:r w:rsidRPr="00124BE8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6:50</w:t>
            </w:r>
          </w:p>
        </w:tc>
        <w:tc>
          <w:tcPr>
            <w:tcW w:w="992" w:type="dxa"/>
            <w:vAlign w:val="center"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с 08:00 по 08:10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09:50</w:t>
            </w:r>
          </w:p>
        </w:tc>
      </w:tr>
      <w:tr w:rsidR="004F6649" w:rsidRPr="00C3500C" w:rsidTr="00081DEA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23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 xml:space="preserve">Железногорск-Илимский – Новая Игирма – </w:t>
            </w:r>
          </w:p>
          <w:p w:rsidR="004F6649" w:rsidRPr="00161F2B" w:rsidRDefault="004F6649" w:rsidP="00081DEA">
            <w:pPr>
              <w:pStyle w:val="a3"/>
              <w:rPr>
                <w:sz w:val="22"/>
                <w:szCs w:val="22"/>
              </w:rPr>
            </w:pPr>
            <w:r w:rsidRPr="00161F2B">
              <w:rPr>
                <w:sz w:val="22"/>
                <w:szCs w:val="22"/>
              </w:rPr>
              <w:t>Янгель</w:t>
            </w:r>
          </w:p>
        </w:tc>
        <w:tc>
          <w:tcPr>
            <w:tcW w:w="1985" w:type="dxa"/>
            <w:vAlign w:val="center"/>
          </w:tcPr>
          <w:p w:rsidR="004F6649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ежедневно,</w:t>
            </w:r>
          </w:p>
          <w:p w:rsidR="004F6649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 xml:space="preserve">за исключением субботы, </w:t>
            </w:r>
          </w:p>
          <w:p w:rsidR="004F6649" w:rsidRPr="00124BE8" w:rsidRDefault="004F6649" w:rsidP="00081DEA">
            <w:pPr>
              <w:pStyle w:val="a3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воскресенья</w:t>
            </w:r>
            <w:r w:rsidRPr="00124BE8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14:00</w:t>
            </w:r>
          </w:p>
        </w:tc>
        <w:tc>
          <w:tcPr>
            <w:tcW w:w="992" w:type="dxa"/>
            <w:vAlign w:val="center"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с 15:40 по 15:50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F6649" w:rsidRPr="00124BE8" w:rsidRDefault="004F6649" w:rsidP="00081DEA">
            <w:pPr>
              <w:pStyle w:val="a3"/>
              <w:jc w:val="center"/>
              <w:rPr>
                <w:sz w:val="22"/>
                <w:szCs w:val="22"/>
              </w:rPr>
            </w:pPr>
            <w:r w:rsidRPr="00124BE8">
              <w:rPr>
                <w:sz w:val="22"/>
                <w:szCs w:val="22"/>
              </w:rPr>
              <w:t>17:00</w:t>
            </w:r>
          </w:p>
        </w:tc>
      </w:tr>
    </w:tbl>
    <w:p w:rsidR="004F6649" w:rsidRPr="00A115CE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4F6649" w:rsidRPr="001F4E63" w:rsidRDefault="004F6649" w:rsidP="004F6649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4F6649" w:rsidRPr="00634949" w:rsidRDefault="004F6649" w:rsidP="004F6649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>
        <w:rPr>
          <w:color w:val="FF0000"/>
          <w:sz w:val="26"/>
          <w:szCs w:val="26"/>
          <w:u w:val="single"/>
        </w:rPr>
        <w:t>12</w:t>
      </w:r>
      <w:r w:rsidRPr="0017325E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.</w:t>
      </w:r>
    </w:p>
    <w:p w:rsidR="004F6649" w:rsidRPr="000558E1" w:rsidRDefault="004F6649" w:rsidP="004F6649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4F6649" w:rsidRPr="000558E1" w:rsidRDefault="004F6649" w:rsidP="004F6649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4F6649" w:rsidRPr="000558E1" w:rsidRDefault="004F6649" w:rsidP="004F6649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4F6649" w:rsidRPr="000558E1" w:rsidRDefault="004F6649" w:rsidP="004F6649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4F6649" w:rsidRPr="000558E1" w:rsidRDefault="004F6649" w:rsidP="004F6649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4F6649" w:rsidRPr="000558E1" w:rsidRDefault="004F6649" w:rsidP="004F6649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4F6649" w:rsidRPr="00A115CE" w:rsidRDefault="004F6649" w:rsidP="004F6649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4F6649" w:rsidRPr="005713DF" w:rsidRDefault="004F6649" w:rsidP="004F6649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4F6649" w:rsidRPr="00A115CE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4F6649" w:rsidRPr="0032631D" w:rsidRDefault="004F6649" w:rsidP="004F6649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4F6649" w:rsidRPr="008E3FDD" w:rsidRDefault="004F6649" w:rsidP="004F6649">
      <w:pPr>
        <w:pStyle w:val="a3"/>
        <w:ind w:firstLine="426"/>
        <w:jc w:val="both"/>
        <w:rPr>
          <w:sz w:val="6"/>
          <w:szCs w:val="6"/>
        </w:rPr>
      </w:pPr>
    </w:p>
    <w:p w:rsidR="004F6649" w:rsidRPr="0083299A" w:rsidRDefault="004F6649" w:rsidP="004F6649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4F6649" w:rsidRPr="00A87FAD" w:rsidRDefault="004F6649" w:rsidP="004F6649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4F6649" w:rsidRPr="00D021DE" w:rsidRDefault="004F6649" w:rsidP="004F6649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4F6649" w:rsidRPr="00D021DE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4F6649" w:rsidRPr="00821A74" w:rsidRDefault="004F6649" w:rsidP="004F6649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4F6649" w:rsidRPr="00567CFD" w:rsidRDefault="004F6649" w:rsidP="004F6649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lastRenderedPageBreak/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4F6649" w:rsidRPr="00A115CE" w:rsidRDefault="004F6649" w:rsidP="004F6649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4F6649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4F6649" w:rsidRPr="003470A0" w:rsidRDefault="004F6649" w:rsidP="004F6649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4F6649" w:rsidRPr="00821A74" w:rsidRDefault="004F6649" w:rsidP="004F66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4F6649" w:rsidRPr="00821A74" w:rsidRDefault="004F6649" w:rsidP="004F664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4F6649" w:rsidRPr="00821A74" w:rsidRDefault="004F6649" w:rsidP="004F664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4F6649" w:rsidRPr="00821A74" w:rsidRDefault="004F6649" w:rsidP="004F6649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4F6649" w:rsidRPr="00821A74" w:rsidRDefault="004F6649" w:rsidP="004F66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4F6649" w:rsidRPr="00821A74" w:rsidRDefault="004F6649" w:rsidP="004F66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 xml:space="preserve">вок только после вскрытия конвертов с заявками на участие в открытом конкурсе. </w:t>
      </w:r>
      <w:r w:rsidRPr="00821A74">
        <w:rPr>
          <w:rFonts w:ascii="Times New Roman" w:hAnsi="Times New Roman" w:cs="Times New Roman"/>
          <w:sz w:val="26"/>
          <w:szCs w:val="26"/>
        </w:rPr>
        <w:lastRenderedPageBreak/>
        <w:t>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4F6649" w:rsidRPr="00821A74" w:rsidRDefault="004F6649" w:rsidP="004F664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6649" w:rsidRPr="00422212" w:rsidRDefault="004F6649" w:rsidP="004F664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4F6649" w:rsidRPr="00A115CE" w:rsidRDefault="004F6649" w:rsidP="004F6649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4F6649" w:rsidRPr="006E3D2F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4F6649" w:rsidRPr="006C142B" w:rsidRDefault="004F6649" w:rsidP="004F664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4F6649" w:rsidRPr="006C142B" w:rsidRDefault="004F6649" w:rsidP="004F6649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4F6649" w:rsidRPr="00A115CE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4F6649" w:rsidRPr="00D9156B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4F6649" w:rsidRPr="007A6546" w:rsidRDefault="004F6649" w:rsidP="004F6649">
      <w:pPr>
        <w:pStyle w:val="a3"/>
        <w:ind w:firstLine="426"/>
        <w:jc w:val="both"/>
        <w:rPr>
          <w:color w:val="FF0000"/>
          <w:u w:val="single"/>
        </w:rPr>
      </w:pPr>
      <w:r w:rsidRPr="007A6546">
        <w:t xml:space="preserve">Прием заявления на получение разъяснений: </w:t>
      </w:r>
      <w:r w:rsidRPr="007A6546">
        <w:rPr>
          <w:color w:val="FF0000"/>
          <w:u w:val="single"/>
        </w:rPr>
        <w:t>с 07.10.2016 года по 22.09.2016 года.</w:t>
      </w:r>
    </w:p>
    <w:p w:rsidR="004F6649" w:rsidRPr="007A6546" w:rsidRDefault="004F6649" w:rsidP="004F6649">
      <w:pPr>
        <w:pStyle w:val="a3"/>
        <w:ind w:firstLine="426"/>
        <w:jc w:val="both"/>
      </w:pPr>
      <w:r w:rsidRPr="007A6546">
        <w:t xml:space="preserve">Предоставление разъяснений: </w:t>
      </w:r>
      <w:r w:rsidRPr="007A6546">
        <w:rPr>
          <w:color w:val="FF0000"/>
          <w:u w:val="single"/>
        </w:rPr>
        <w:t xml:space="preserve">с 07.10.2016 года по </w:t>
      </w:r>
      <w:r>
        <w:rPr>
          <w:color w:val="FF0000"/>
          <w:u w:val="single"/>
        </w:rPr>
        <w:t>25</w:t>
      </w:r>
      <w:r w:rsidRPr="007A6546">
        <w:rPr>
          <w:color w:val="FF0000"/>
          <w:u w:val="single"/>
        </w:rPr>
        <w:t>.09.2016 года.</w:t>
      </w:r>
    </w:p>
    <w:p w:rsidR="004F6649" w:rsidRPr="00A115CE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4F6649" w:rsidRPr="005856C3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4F6649" w:rsidRPr="005856C3" w:rsidRDefault="004F6649" w:rsidP="004F6649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4F6649" w:rsidRPr="005856C3" w:rsidRDefault="004F6649" w:rsidP="004F6649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B57260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4F6649" w:rsidRPr="005856C3" w:rsidRDefault="004F6649" w:rsidP="00081DE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рель, подъемник для инвалидов, приспособления для крепления инв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B34CF8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B34CF8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перевозку пассажиров в междугородном сообщении, устройств для просмотра х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дожественных, мультипликационных, научно-популярных, докуме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тальных фильмов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B34CF8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4F6649" w:rsidRPr="005856C3" w:rsidTr="00081D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5856C3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B34CF8" w:rsidRDefault="004F6649" w:rsidP="00081D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устройств или иных средств, позволяющих пристегнуть ребенка возрастом до 12 лет с помощью ремней безопасности, предусмотренных конструкцией транспортного средства (только для транспортных средств, работающих на маршрутах междугородного сообщения)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49" w:rsidRPr="00125ADE" w:rsidRDefault="004F6649" w:rsidP="00081D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удержи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щее устройство, но не более 0,5 на одно транспор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ное средство)</w:t>
            </w:r>
          </w:p>
        </w:tc>
      </w:tr>
    </w:tbl>
    <w:p w:rsidR="004F6649" w:rsidRPr="005856C3" w:rsidRDefault="004F6649" w:rsidP="004F664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4F6649" w:rsidRPr="005856C3" w:rsidRDefault="004F6649" w:rsidP="004F6649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4F6649" w:rsidRPr="00A115CE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4F6649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4F6649" w:rsidRPr="003A782D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4F6649" w:rsidRPr="005856C3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4F6649" w:rsidRPr="005856C3" w:rsidRDefault="004F6649" w:rsidP="004F6649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4F6649" w:rsidRPr="005856C3" w:rsidRDefault="004F6649" w:rsidP="004F6649">
      <w:pPr>
        <w:pStyle w:val="a3"/>
        <w:tabs>
          <w:tab w:val="left" w:pos="851"/>
        </w:tabs>
        <w:ind w:firstLine="426"/>
        <w:jc w:val="both"/>
      </w:pPr>
      <w:r w:rsidRPr="005856C3">
        <w:lastRenderedPageBreak/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4F6649" w:rsidRPr="005856C3" w:rsidRDefault="004F6649" w:rsidP="004F6649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4F6649" w:rsidRPr="005856C3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4F6649" w:rsidRPr="0002333C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4F6649" w:rsidRPr="005856C3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4F6649" w:rsidRPr="005856C3" w:rsidRDefault="004F6649" w:rsidP="004F6649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4F6649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>ных средствах соответствующих у</w:t>
      </w:r>
      <w:r>
        <w:t xml:space="preserve">стройств, оборудования, систем </w:t>
      </w:r>
      <w:r w:rsidRPr="005856C3">
        <w:t>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</w:t>
      </w:r>
      <w:r w:rsidRPr="005856C3">
        <w:t>т</w:t>
      </w:r>
      <w:r w:rsidRPr="005856C3">
        <w:t xml:space="preserve">венный регистрационный </w:t>
      </w:r>
      <w:r>
        <w:t>номер</w:t>
      </w:r>
      <w:r w:rsidRPr="005856C3">
        <w:t xml:space="preserve">. </w:t>
      </w:r>
    </w:p>
    <w:p w:rsidR="004F6649" w:rsidRPr="005856C3" w:rsidRDefault="004F6649" w:rsidP="004F664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EC3927">
        <w:t>Показатель, приведенный в пункте 1</w:t>
      </w:r>
      <w:r>
        <w:t>2</w:t>
      </w:r>
      <w:r w:rsidRPr="00EC3927">
        <w:t xml:space="preserve"> Таблицы, рассчитывается в соотве</w:t>
      </w:r>
      <w:r w:rsidRPr="00EC3927">
        <w:t>т</w:t>
      </w:r>
      <w:r w:rsidRPr="00EC3927">
        <w:t>ствии с указанными в таблице баллами. Наличие детских удерживающих устройств или иных средств подтверждается товарными чеками, кассовыми чеками, накла</w:t>
      </w:r>
      <w:r w:rsidRPr="00EC3927">
        <w:t>д</w:t>
      </w:r>
      <w:r w:rsidRPr="00EC3927">
        <w:t>ными, паспортами вышеуказанных устройств (средств). Вышеуказанные докуме</w:t>
      </w:r>
      <w:r w:rsidRPr="00EC3927">
        <w:t>н</w:t>
      </w:r>
      <w:r w:rsidRPr="00EC3927">
        <w:t>ты вместе с их копиями представляются участником открытого конкурса в составе заявки на участие в конкурсе</w:t>
      </w:r>
      <w:r>
        <w:t>.</w:t>
      </w:r>
    </w:p>
    <w:p w:rsidR="004F6649" w:rsidRPr="003A2183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4F6649" w:rsidRPr="005856C3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4F6649" w:rsidRPr="005856C3" w:rsidRDefault="004F6649" w:rsidP="004F6649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4F6649" w:rsidRPr="003A2183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4F6649" w:rsidRPr="00BE2CC4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lastRenderedPageBreak/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4F6649" w:rsidRPr="00BE2CC4" w:rsidRDefault="004F6649" w:rsidP="004F6649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4F6649" w:rsidRPr="003A2183" w:rsidRDefault="004F6649" w:rsidP="004F6649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4F6649" w:rsidRPr="00292F04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4F6649" w:rsidRPr="00FF61CE" w:rsidRDefault="004F6649" w:rsidP="004F6649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4F6649" w:rsidRPr="000861E9" w:rsidRDefault="004F6649" w:rsidP="004F6649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4F6649" w:rsidRPr="005C0150" w:rsidRDefault="004F6649" w:rsidP="004F6649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4F6649" w:rsidRPr="00334950" w:rsidRDefault="004F6649" w:rsidP="004F66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4F6649" w:rsidRPr="00334950" w:rsidRDefault="004F6649" w:rsidP="004F6649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4F6649" w:rsidRPr="00334950" w:rsidRDefault="004F6649" w:rsidP="004F664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4F6649" w:rsidRPr="003A3CE8" w:rsidRDefault="004F6649" w:rsidP="004F664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4F6649" w:rsidRPr="00334950" w:rsidRDefault="004F6649" w:rsidP="004F6649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4F6649" w:rsidRDefault="004F6649" w:rsidP="004C0520">
      <w:pPr>
        <w:spacing w:after="0" w:line="240" w:lineRule="auto"/>
        <w:rPr>
          <w:b/>
        </w:rPr>
      </w:pPr>
    </w:p>
    <w:sectPr w:rsidR="004F6649" w:rsidSect="0085247E"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A8C" w:rsidRDefault="00B54A8C" w:rsidP="009C2932">
      <w:pPr>
        <w:spacing w:after="0" w:line="240" w:lineRule="auto"/>
      </w:pPr>
      <w:r>
        <w:separator/>
      </w:r>
    </w:p>
  </w:endnote>
  <w:endnote w:type="continuationSeparator" w:id="1">
    <w:p w:rsidR="00B54A8C" w:rsidRDefault="00B54A8C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A8C" w:rsidRDefault="00B54A8C" w:rsidP="009C2932">
      <w:pPr>
        <w:spacing w:after="0" w:line="240" w:lineRule="auto"/>
      </w:pPr>
      <w:r>
        <w:separator/>
      </w:r>
    </w:p>
  </w:footnote>
  <w:footnote w:type="continuationSeparator" w:id="1">
    <w:p w:rsidR="00B54A8C" w:rsidRDefault="00B54A8C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14"/>
  </w:num>
  <w:num w:numId="10">
    <w:abstractNumId w:val="19"/>
  </w:num>
  <w:num w:numId="11">
    <w:abstractNumId w:val="11"/>
  </w:num>
  <w:num w:numId="12">
    <w:abstractNumId w:val="7"/>
  </w:num>
  <w:num w:numId="13">
    <w:abstractNumId w:val="21"/>
  </w:num>
  <w:num w:numId="14">
    <w:abstractNumId w:val="17"/>
  </w:num>
  <w:num w:numId="15">
    <w:abstractNumId w:val="6"/>
  </w:num>
  <w:num w:numId="16">
    <w:abstractNumId w:val="24"/>
  </w:num>
  <w:num w:numId="17">
    <w:abstractNumId w:val="8"/>
  </w:num>
  <w:num w:numId="18">
    <w:abstractNumId w:val="12"/>
  </w:num>
  <w:num w:numId="19">
    <w:abstractNumId w:val="10"/>
  </w:num>
  <w:num w:numId="20">
    <w:abstractNumId w:val="23"/>
  </w:num>
  <w:num w:numId="21">
    <w:abstractNumId w:val="2"/>
  </w:num>
  <w:num w:numId="22">
    <w:abstractNumId w:val="0"/>
  </w:num>
  <w:num w:numId="23">
    <w:abstractNumId w:val="15"/>
  </w:num>
  <w:num w:numId="24">
    <w:abstractNumId w:val="1"/>
  </w:num>
  <w:num w:numId="25">
    <w:abstractNumId w:val="13"/>
  </w:num>
  <w:num w:numId="26">
    <w:abstractNumId w:val="16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58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0D69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770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6649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A33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15E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6658B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3E8C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2B74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3944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39A3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0FD4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54A8C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3823-2FA7-4684-8EBC-1C52A3B1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5517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2016-10-07T03:49:00Z</dcterms:created>
  <dcterms:modified xsi:type="dcterms:W3CDTF">2016-10-07T03:49:00Z</dcterms:modified>
</cp:coreProperties>
</file>